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E780" w14:textId="77777777" w:rsidR="00AE37CC" w:rsidRPr="0009767E" w:rsidRDefault="00AE37CC" w:rsidP="00AE37CC">
      <w:pPr>
        <w:spacing w:after="0" w:line="240" w:lineRule="auto"/>
        <w:jc w:val="center"/>
        <w:rPr>
          <w:rFonts w:cstheme="minorHAnsi"/>
          <w:b/>
        </w:rPr>
      </w:pPr>
      <w:r w:rsidRPr="0009767E">
        <w:rPr>
          <w:rFonts w:cstheme="minorHAnsi"/>
          <w:b/>
        </w:rPr>
        <w:t>TEMPLATE</w:t>
      </w:r>
    </w:p>
    <w:p w14:paraId="3FF4E9C0" w14:textId="77777777" w:rsidR="00AE37CC" w:rsidRPr="0009767E" w:rsidRDefault="00AE37CC" w:rsidP="00AE37CC">
      <w:pPr>
        <w:spacing w:after="0" w:line="240" w:lineRule="auto"/>
        <w:jc w:val="center"/>
        <w:rPr>
          <w:rFonts w:cstheme="minorHAnsi"/>
          <w:b/>
        </w:rPr>
      </w:pPr>
      <w:r w:rsidRPr="0009767E">
        <w:rPr>
          <w:rFonts w:cstheme="minorHAnsi"/>
          <w:b/>
        </w:rPr>
        <w:t xml:space="preserve">PERSONAL DATA PROCESSING AGREEMENT </w:t>
      </w:r>
    </w:p>
    <w:p w14:paraId="0282E52E" w14:textId="42CEEF71" w:rsidR="00AE37CC" w:rsidRPr="0009767E" w:rsidRDefault="00666AE3" w:rsidP="00AE37CC">
      <w:pPr>
        <w:spacing w:after="0" w:line="240" w:lineRule="auto"/>
        <w:jc w:val="center"/>
        <w:rPr>
          <w:rFonts w:cstheme="minorHAnsi"/>
          <w:b/>
        </w:rPr>
      </w:pPr>
      <w:r w:rsidRPr="0009767E">
        <w:rPr>
          <w:rFonts w:cstheme="minorHAnsi"/>
        </w:rPr>
        <w:t xml:space="preserve"> </w:t>
      </w:r>
      <w:r w:rsidR="00AE37CC" w:rsidRPr="0009767E">
        <w:rPr>
          <w:rFonts w:cstheme="minorHAnsi"/>
        </w:rPr>
        <w:t>(hereinafter referred to as</w:t>
      </w:r>
      <w:r w:rsidR="003B314A" w:rsidRPr="0009767E">
        <w:rPr>
          <w:rFonts w:cstheme="minorHAnsi"/>
        </w:rPr>
        <w:t xml:space="preserve"> the</w:t>
      </w:r>
      <w:r w:rsidR="00AE37CC" w:rsidRPr="0009767E">
        <w:rPr>
          <w:rFonts w:cstheme="minorHAnsi"/>
        </w:rPr>
        <w:t xml:space="preserve">: </w:t>
      </w:r>
      <w:r w:rsidR="00AE37CC" w:rsidRPr="0009767E">
        <w:rPr>
          <w:rFonts w:cstheme="minorHAnsi"/>
          <w:b/>
        </w:rPr>
        <w:t>“Data Processing Agreement”</w:t>
      </w:r>
      <w:r w:rsidR="00AE37CC" w:rsidRPr="0009767E">
        <w:rPr>
          <w:rFonts w:cstheme="minorHAnsi"/>
        </w:rPr>
        <w:t>)</w:t>
      </w:r>
    </w:p>
    <w:p w14:paraId="729EDA58" w14:textId="4759C8A9" w:rsidR="00AE37CC" w:rsidRPr="0009767E" w:rsidRDefault="003B314A" w:rsidP="00AE37CC">
      <w:pPr>
        <w:spacing w:after="0" w:line="240" w:lineRule="auto"/>
        <w:jc w:val="center"/>
        <w:rPr>
          <w:rFonts w:cstheme="minorHAnsi"/>
        </w:rPr>
      </w:pPr>
      <w:r w:rsidRPr="0009767E">
        <w:rPr>
          <w:rFonts w:cstheme="minorHAnsi"/>
        </w:rPr>
        <w:t>Entered into</w:t>
      </w:r>
      <w:r w:rsidR="00AE37CC" w:rsidRPr="0009767E">
        <w:rPr>
          <w:rFonts w:cstheme="minorHAnsi"/>
        </w:rPr>
        <w:t xml:space="preserve"> on ……………………………… between:</w:t>
      </w:r>
    </w:p>
    <w:p w14:paraId="532B4A7F" w14:textId="77777777" w:rsidR="00AE37CC" w:rsidRPr="0009767E" w:rsidRDefault="00AE37CC" w:rsidP="00AE37CC">
      <w:pPr>
        <w:spacing w:after="0" w:line="240" w:lineRule="auto"/>
        <w:jc w:val="center"/>
        <w:rPr>
          <w:rFonts w:cstheme="minorHAnsi"/>
        </w:rPr>
      </w:pPr>
    </w:p>
    <w:p w14:paraId="3ED5C387" w14:textId="5456C156" w:rsidR="00AE37CC" w:rsidRPr="0009767E" w:rsidRDefault="00AE37CC" w:rsidP="00AE37CC">
      <w:pPr>
        <w:pStyle w:val="Bezodstpw"/>
        <w:jc w:val="both"/>
        <w:rPr>
          <w:rFonts w:asciiTheme="minorHAnsi" w:hAnsiTheme="minorHAnsi" w:cstheme="minorHAnsi"/>
          <w:bCs/>
          <w:lang w:val="en-GB"/>
        </w:rPr>
      </w:pPr>
      <w:r w:rsidRPr="0009767E">
        <w:rPr>
          <w:rFonts w:cstheme="minorHAnsi"/>
          <w:b/>
          <w:lang w:val="en-GB"/>
        </w:rPr>
        <w:t>the Foundation for Polish Science</w:t>
      </w:r>
      <w:r w:rsidRPr="0009767E">
        <w:rPr>
          <w:rFonts w:cstheme="minorHAnsi"/>
          <w:lang w:val="en-GB"/>
        </w:rPr>
        <w:t xml:space="preserve">, with its registered office in Warsaw (02-611), at I. Krasickiego </w:t>
      </w:r>
      <w:r w:rsidR="00CC60B7" w:rsidRPr="0009767E">
        <w:rPr>
          <w:rFonts w:cstheme="minorHAnsi"/>
          <w:lang w:val="en-GB"/>
        </w:rPr>
        <w:t xml:space="preserve">St. </w:t>
      </w:r>
      <w:r w:rsidRPr="0009767E">
        <w:rPr>
          <w:rFonts w:cstheme="minorHAnsi"/>
          <w:lang w:val="en-GB"/>
        </w:rPr>
        <w:t xml:space="preserve">20/22, </w:t>
      </w:r>
      <w:r w:rsidR="003B314A" w:rsidRPr="0009767E">
        <w:rPr>
          <w:rFonts w:cstheme="minorHAnsi"/>
          <w:lang w:val="en-GB"/>
        </w:rPr>
        <w:t>entered into the register of associations, other social and professional organizations, foundations, and independent public healthcare institutions maintained by the District Court for the Capital City of Warsaw</w:t>
      </w:r>
      <w:r w:rsidRPr="0009767E">
        <w:rPr>
          <w:rFonts w:cstheme="minorHAnsi"/>
          <w:lang w:val="en-GB"/>
        </w:rPr>
        <w:t>, 13th Commercial Division of the National Court Register under KRS No. 0000109744, NIP 526-03-11-952, REGON 012001533</w:t>
      </w:r>
      <w:r w:rsidRPr="0009767E">
        <w:rPr>
          <w:rFonts w:asciiTheme="minorHAnsi" w:hAnsiTheme="minorHAnsi" w:cstheme="minorHAnsi"/>
          <w:bCs/>
          <w:lang w:val="en-GB"/>
        </w:rPr>
        <w:t>,</w:t>
      </w:r>
    </w:p>
    <w:p w14:paraId="29BAE045" w14:textId="77777777" w:rsidR="00AE37CC" w:rsidRPr="0009767E" w:rsidRDefault="00AE37CC" w:rsidP="00AE37CC">
      <w:pPr>
        <w:pStyle w:val="Bezodstpw"/>
        <w:jc w:val="both"/>
        <w:rPr>
          <w:rFonts w:asciiTheme="minorHAnsi" w:hAnsiTheme="minorHAnsi" w:cstheme="minorHAnsi"/>
          <w:lang w:val="en-GB"/>
        </w:rPr>
      </w:pPr>
      <w:r w:rsidRPr="0009767E">
        <w:rPr>
          <w:rFonts w:asciiTheme="minorHAnsi" w:hAnsiTheme="minorHAnsi" w:cstheme="minorHAnsi"/>
          <w:lang w:val="en-GB"/>
        </w:rPr>
        <w:t>represented by:</w:t>
      </w:r>
    </w:p>
    <w:p w14:paraId="013A82D3" w14:textId="77777777" w:rsidR="00AE37CC" w:rsidRPr="0009767E" w:rsidRDefault="00AE37CC" w:rsidP="00AE37CC">
      <w:pPr>
        <w:spacing w:after="0" w:line="240" w:lineRule="auto"/>
        <w:jc w:val="both"/>
        <w:rPr>
          <w:rFonts w:eastAsia="Times New Roman" w:cstheme="minorHAnsi"/>
          <w:b/>
        </w:rPr>
      </w:pPr>
      <w:r w:rsidRPr="0009767E">
        <w:rPr>
          <w:rFonts w:eastAsia="Times New Roman" w:cstheme="minorHAnsi"/>
          <w:b/>
        </w:rPr>
        <w:t>…</w:t>
      </w:r>
    </w:p>
    <w:p w14:paraId="3CB97E44" w14:textId="77777777" w:rsidR="00AE37CC" w:rsidRPr="0009767E" w:rsidRDefault="00AE37CC" w:rsidP="00AE37CC">
      <w:pPr>
        <w:spacing w:after="0" w:line="240" w:lineRule="auto"/>
        <w:rPr>
          <w:rFonts w:cstheme="minorHAnsi"/>
        </w:rPr>
      </w:pPr>
    </w:p>
    <w:p w14:paraId="332DD796" w14:textId="1025E2E1" w:rsidR="00AE37CC" w:rsidRPr="0009767E" w:rsidRDefault="00AE37CC" w:rsidP="00AE37CC">
      <w:pPr>
        <w:spacing w:after="0" w:line="240" w:lineRule="auto"/>
        <w:rPr>
          <w:rFonts w:cstheme="minorHAnsi"/>
        </w:rPr>
      </w:pPr>
      <w:r w:rsidRPr="0009767E">
        <w:rPr>
          <w:rFonts w:cstheme="minorHAnsi"/>
        </w:rPr>
        <w:t>hereinafter referred to as</w:t>
      </w:r>
      <w:r w:rsidR="003B314A" w:rsidRPr="0009767E">
        <w:rPr>
          <w:rFonts w:cstheme="minorHAnsi"/>
        </w:rPr>
        <w:t xml:space="preserve"> the</w:t>
      </w:r>
      <w:r w:rsidRPr="0009767E">
        <w:rPr>
          <w:rFonts w:cstheme="minorHAnsi"/>
        </w:rPr>
        <w:t xml:space="preserve">: </w:t>
      </w:r>
      <w:r w:rsidRPr="0009767E">
        <w:rPr>
          <w:rFonts w:cstheme="minorHAnsi"/>
          <w:b/>
        </w:rPr>
        <w:t>“Data Controller”</w:t>
      </w:r>
      <w:r w:rsidRPr="0009767E">
        <w:rPr>
          <w:rFonts w:cstheme="minorHAnsi"/>
        </w:rPr>
        <w:t>,</w:t>
      </w:r>
    </w:p>
    <w:p w14:paraId="00B4757B" w14:textId="77777777" w:rsidR="00AE37CC" w:rsidRPr="0009767E" w:rsidRDefault="00AE37CC" w:rsidP="00AE37CC">
      <w:pPr>
        <w:spacing w:after="0" w:line="240" w:lineRule="auto"/>
        <w:rPr>
          <w:rFonts w:cstheme="minorHAnsi"/>
        </w:rPr>
      </w:pPr>
    </w:p>
    <w:p w14:paraId="260B96F3" w14:textId="77777777" w:rsidR="00AE37CC" w:rsidRPr="0009767E" w:rsidRDefault="00AE37CC" w:rsidP="00AE37CC">
      <w:pPr>
        <w:spacing w:after="0" w:line="240" w:lineRule="auto"/>
        <w:rPr>
          <w:rFonts w:cstheme="minorHAnsi"/>
        </w:rPr>
      </w:pPr>
      <w:r w:rsidRPr="0009767E">
        <w:rPr>
          <w:rFonts w:cstheme="minorHAnsi"/>
        </w:rPr>
        <w:t>and</w:t>
      </w:r>
    </w:p>
    <w:p w14:paraId="25AAA2A6" w14:textId="77777777" w:rsidR="00AE37CC" w:rsidRPr="0009767E" w:rsidRDefault="00AE37CC" w:rsidP="00AE37CC">
      <w:pPr>
        <w:spacing w:after="0" w:line="240" w:lineRule="auto"/>
        <w:rPr>
          <w:rFonts w:cstheme="minorHAnsi"/>
        </w:rPr>
      </w:pPr>
    </w:p>
    <w:p w14:paraId="1E2E8C64" w14:textId="77777777" w:rsidR="00AE37CC" w:rsidRPr="0009767E" w:rsidRDefault="00AE37CC" w:rsidP="00AE37CC">
      <w:pPr>
        <w:spacing w:after="0" w:line="240" w:lineRule="auto"/>
        <w:jc w:val="both"/>
        <w:rPr>
          <w:rFonts w:cstheme="minorHAnsi"/>
        </w:rPr>
      </w:pPr>
      <w:r w:rsidRPr="0009767E">
        <w:rPr>
          <w:rFonts w:cstheme="minorHAnsi"/>
        </w:rPr>
        <w:t>…</w:t>
      </w:r>
    </w:p>
    <w:p w14:paraId="7ACC9E7F" w14:textId="77777777" w:rsidR="00AE37CC" w:rsidRPr="0009767E" w:rsidRDefault="00AE37CC" w:rsidP="00AE37CC">
      <w:pPr>
        <w:spacing w:after="0" w:line="240" w:lineRule="auto"/>
        <w:jc w:val="both"/>
        <w:rPr>
          <w:rFonts w:cstheme="minorHAnsi"/>
        </w:rPr>
      </w:pPr>
      <w:r w:rsidRPr="0009767E">
        <w:rPr>
          <w:rFonts w:cstheme="minorHAnsi"/>
        </w:rPr>
        <w:t>represented by:</w:t>
      </w:r>
    </w:p>
    <w:p w14:paraId="16E95F3E" w14:textId="77777777" w:rsidR="00AE37CC" w:rsidRPr="0009767E" w:rsidRDefault="00AE37CC" w:rsidP="00AE37CC">
      <w:pPr>
        <w:spacing w:after="0" w:line="240" w:lineRule="auto"/>
        <w:jc w:val="both"/>
        <w:rPr>
          <w:rFonts w:cstheme="minorHAnsi"/>
          <w:b/>
        </w:rPr>
      </w:pPr>
      <w:r w:rsidRPr="0009767E">
        <w:rPr>
          <w:rFonts w:cstheme="minorHAnsi"/>
          <w:b/>
        </w:rPr>
        <w:t>…</w:t>
      </w:r>
    </w:p>
    <w:p w14:paraId="11F79B61" w14:textId="77777777" w:rsidR="00AE37CC" w:rsidRPr="0009767E" w:rsidRDefault="00AE37CC" w:rsidP="00AE37CC">
      <w:pPr>
        <w:spacing w:after="0" w:line="240" w:lineRule="auto"/>
        <w:rPr>
          <w:rFonts w:cstheme="minorHAnsi"/>
        </w:rPr>
      </w:pPr>
    </w:p>
    <w:p w14:paraId="63108126" w14:textId="05249C0F" w:rsidR="00AE37CC" w:rsidRPr="0009767E" w:rsidRDefault="00AE37CC" w:rsidP="00AE37CC">
      <w:pPr>
        <w:spacing w:after="0" w:line="240" w:lineRule="auto"/>
        <w:rPr>
          <w:rFonts w:cstheme="minorHAnsi"/>
        </w:rPr>
      </w:pPr>
      <w:r w:rsidRPr="0009767E">
        <w:rPr>
          <w:rFonts w:cstheme="minorHAnsi"/>
        </w:rPr>
        <w:t>hereinafter referred to as</w:t>
      </w:r>
      <w:r w:rsidR="003B314A" w:rsidRPr="0009767E">
        <w:rPr>
          <w:rFonts w:cstheme="minorHAnsi"/>
        </w:rPr>
        <w:t xml:space="preserve"> the</w:t>
      </w:r>
      <w:r w:rsidRPr="0009767E">
        <w:rPr>
          <w:rFonts w:cstheme="minorHAnsi"/>
        </w:rPr>
        <w:t xml:space="preserve">: </w:t>
      </w:r>
      <w:r w:rsidR="003B314A" w:rsidRPr="0009767E">
        <w:rPr>
          <w:rFonts w:cstheme="minorHAnsi"/>
          <w:b/>
        </w:rPr>
        <w:t>“</w:t>
      </w:r>
      <w:r w:rsidRPr="0009767E">
        <w:rPr>
          <w:rFonts w:cstheme="minorHAnsi"/>
          <w:b/>
        </w:rPr>
        <w:t>Processor</w:t>
      </w:r>
      <w:r w:rsidR="003B314A" w:rsidRPr="0009767E">
        <w:rPr>
          <w:rFonts w:cstheme="minorHAnsi"/>
          <w:b/>
        </w:rPr>
        <w:t>”</w:t>
      </w:r>
      <w:r w:rsidRPr="0009767E">
        <w:rPr>
          <w:rFonts w:cstheme="minorHAnsi"/>
        </w:rPr>
        <w:t>.</w:t>
      </w:r>
    </w:p>
    <w:p w14:paraId="0B376F64" w14:textId="77777777" w:rsidR="00AE37CC" w:rsidRPr="0009767E" w:rsidRDefault="00AE37CC" w:rsidP="00AE37CC">
      <w:pPr>
        <w:spacing w:after="0" w:line="240" w:lineRule="auto"/>
        <w:rPr>
          <w:rFonts w:cstheme="minorHAnsi"/>
        </w:rPr>
      </w:pPr>
    </w:p>
    <w:p w14:paraId="68B907F9" w14:textId="77777777" w:rsidR="00AE37CC" w:rsidRPr="0009767E" w:rsidRDefault="00AE37CC" w:rsidP="00AE37CC">
      <w:pPr>
        <w:spacing w:after="0" w:line="240" w:lineRule="auto"/>
        <w:rPr>
          <w:rFonts w:cstheme="minorHAnsi"/>
        </w:rPr>
      </w:pPr>
      <w:r w:rsidRPr="0009767E">
        <w:rPr>
          <w:rFonts w:cstheme="minorHAnsi"/>
        </w:rPr>
        <w:t xml:space="preserve">The Controller and the Processor are hereinafter collectively referred to as </w:t>
      </w:r>
      <w:r w:rsidRPr="0009767E">
        <w:rPr>
          <w:rFonts w:cstheme="minorHAnsi"/>
          <w:bCs/>
        </w:rPr>
        <w:t>the</w:t>
      </w:r>
      <w:r w:rsidRPr="0009767E">
        <w:rPr>
          <w:rFonts w:cstheme="minorHAnsi"/>
          <w:b/>
        </w:rPr>
        <w:t xml:space="preserve"> </w:t>
      </w:r>
      <w:r w:rsidRPr="0009767E">
        <w:rPr>
          <w:rFonts w:cstheme="minorHAnsi"/>
        </w:rPr>
        <w:t xml:space="preserve">“Parties”, and each of them individually as </w:t>
      </w:r>
      <w:r w:rsidRPr="0009767E">
        <w:rPr>
          <w:rFonts w:cstheme="minorHAnsi"/>
          <w:bCs/>
        </w:rPr>
        <w:t>a</w:t>
      </w:r>
      <w:r w:rsidRPr="0009767E">
        <w:rPr>
          <w:rFonts w:cstheme="minorHAnsi"/>
          <w:b/>
        </w:rPr>
        <w:t xml:space="preserve"> “Party</w:t>
      </w:r>
      <w:r w:rsidRPr="0009767E">
        <w:rPr>
          <w:rFonts w:cstheme="minorHAnsi"/>
        </w:rPr>
        <w:t>”.</w:t>
      </w:r>
    </w:p>
    <w:p w14:paraId="1D73C196" w14:textId="77777777" w:rsidR="00AE37CC" w:rsidRPr="0009767E" w:rsidRDefault="00AE37CC" w:rsidP="00AE37CC">
      <w:pPr>
        <w:pStyle w:val="Tekstpodstawowy"/>
        <w:spacing w:after="0"/>
        <w:jc w:val="both"/>
        <w:rPr>
          <w:rFonts w:asciiTheme="minorHAnsi" w:hAnsiTheme="minorHAnsi" w:cstheme="minorHAnsi"/>
          <w:i/>
          <w:sz w:val="22"/>
          <w:szCs w:val="22"/>
        </w:rPr>
      </w:pPr>
    </w:p>
    <w:p w14:paraId="4756D79D" w14:textId="20E50501" w:rsidR="00AE37CC" w:rsidRPr="0009767E" w:rsidRDefault="6BD06B0F" w:rsidP="0A705CD6">
      <w:pPr>
        <w:pStyle w:val="Tekstpodstawowy"/>
        <w:spacing w:after="0"/>
        <w:jc w:val="both"/>
        <w:rPr>
          <w:rFonts w:asciiTheme="minorHAnsi" w:hAnsiTheme="minorHAnsi" w:cstheme="minorBidi"/>
          <w:b/>
          <w:bCs/>
          <w:i/>
          <w:iCs/>
          <w:sz w:val="22"/>
          <w:szCs w:val="22"/>
        </w:rPr>
      </w:pPr>
      <w:r w:rsidRPr="0A705CD6">
        <w:rPr>
          <w:rFonts w:asciiTheme="minorHAnsi" w:hAnsiTheme="minorHAnsi" w:cstheme="minorBidi"/>
          <w:i/>
          <w:iCs/>
          <w:sz w:val="22"/>
          <w:szCs w:val="22"/>
        </w:rPr>
        <w:t xml:space="preserve">Whereas the Parties have entered </w:t>
      </w:r>
      <w:r w:rsidR="001158E8" w:rsidRPr="0A705CD6">
        <w:rPr>
          <w:rFonts w:asciiTheme="minorHAnsi" w:hAnsiTheme="minorHAnsi" w:cstheme="minorBidi"/>
          <w:i/>
          <w:iCs/>
          <w:sz w:val="22"/>
          <w:szCs w:val="22"/>
        </w:rPr>
        <w:t>into</w:t>
      </w:r>
      <w:r w:rsidRPr="0A705CD6">
        <w:rPr>
          <w:rFonts w:asciiTheme="minorHAnsi" w:hAnsiTheme="minorHAnsi" w:cstheme="minorBidi"/>
          <w:i/>
          <w:iCs/>
          <w:sz w:val="22"/>
          <w:szCs w:val="22"/>
        </w:rPr>
        <w:t xml:space="preserve"> an Agreement </w:t>
      </w:r>
      <w:r w:rsidR="001158E8" w:rsidRPr="0A705CD6">
        <w:rPr>
          <w:rFonts w:asciiTheme="minorHAnsi" w:hAnsiTheme="minorHAnsi" w:cstheme="minorBidi"/>
          <w:b/>
          <w:bCs/>
          <w:i/>
          <w:iCs/>
          <w:sz w:val="22"/>
          <w:szCs w:val="22"/>
        </w:rPr>
        <w:t xml:space="preserve">for </w:t>
      </w:r>
      <w:r w:rsidR="008E37D6" w:rsidRPr="0A705CD6">
        <w:rPr>
          <w:rFonts w:asciiTheme="minorHAnsi" w:hAnsiTheme="minorHAnsi" w:cstheme="minorBidi"/>
          <w:b/>
          <w:bCs/>
          <w:i/>
          <w:iCs/>
          <w:sz w:val="22"/>
          <w:szCs w:val="22"/>
        </w:rPr>
        <w:t xml:space="preserve">the comprehensive organisation of a study visit to an academic entrepreneurship and innovation centre within the European Union for the Foundation for Polish Science (FNP) </w:t>
      </w:r>
      <w:r w:rsidR="001158E8" w:rsidRPr="0A705CD6">
        <w:rPr>
          <w:rFonts w:asciiTheme="minorHAnsi" w:hAnsiTheme="minorHAnsi" w:cstheme="minorBidi"/>
          <w:b/>
          <w:bCs/>
          <w:i/>
          <w:iCs/>
          <w:sz w:val="22"/>
          <w:szCs w:val="22"/>
        </w:rPr>
        <w:t xml:space="preserve">(Agreement No. …) </w:t>
      </w:r>
      <w:r w:rsidRPr="0A705CD6">
        <w:rPr>
          <w:rFonts w:asciiTheme="minorHAnsi" w:hAnsiTheme="minorHAnsi" w:cstheme="minorBidi"/>
          <w:i/>
          <w:iCs/>
          <w:sz w:val="22"/>
          <w:szCs w:val="22"/>
        </w:rPr>
        <w:t>hereinafter referred to as the “Agreement</w:t>
      </w:r>
      <w:r w:rsidR="0009767E" w:rsidRPr="0A705CD6">
        <w:rPr>
          <w:rFonts w:asciiTheme="minorHAnsi" w:eastAsiaTheme="minorEastAsia" w:hAnsiTheme="minorHAnsi" w:cstheme="minorBidi"/>
          <w:sz w:val="22"/>
          <w:szCs w:val="22"/>
        </w:rPr>
        <w:t xml:space="preserve"> </w:t>
      </w:r>
      <w:r w:rsidR="0009767E" w:rsidRPr="0A705CD6">
        <w:rPr>
          <w:rFonts w:asciiTheme="minorHAnsi" w:hAnsiTheme="minorHAnsi" w:cstheme="minorBidi"/>
          <w:i/>
          <w:iCs/>
          <w:sz w:val="22"/>
          <w:szCs w:val="22"/>
        </w:rPr>
        <w:t>, and the cooperation between the Parties in the performance of the Agreement requires the entrusting to the Processor of the processing of personal data of the event participants and other persons designated by the Ordering Party, which the Processor shall carry out on behalf of FNP pursuant to the Agreement, the Parties have agreed as follows:</w:t>
      </w:r>
    </w:p>
    <w:p w14:paraId="699A8769" w14:textId="77777777" w:rsidR="00AE37CC" w:rsidRPr="0009767E" w:rsidRDefault="00AE37CC" w:rsidP="00AE37CC">
      <w:pPr>
        <w:pStyle w:val="Tekstpodstawowy"/>
        <w:spacing w:after="0"/>
        <w:jc w:val="both"/>
        <w:rPr>
          <w:rFonts w:asciiTheme="minorHAnsi" w:hAnsiTheme="minorHAnsi" w:cstheme="minorHAnsi"/>
          <w:i/>
          <w:sz w:val="22"/>
          <w:szCs w:val="22"/>
        </w:rPr>
      </w:pPr>
    </w:p>
    <w:p w14:paraId="6849BE21"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§1. Subject matter of the Agreement</w:t>
      </w:r>
    </w:p>
    <w:p w14:paraId="700FE2E9" w14:textId="67DC00F6" w:rsidR="00AE37CC" w:rsidRPr="0009767E" w:rsidRDefault="00AE37CC" w:rsidP="00AE37CC">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 xml:space="preserve">All terms written in </w:t>
      </w:r>
      <w:r w:rsidR="006502A3" w:rsidRPr="0009767E">
        <w:rPr>
          <w:rFonts w:asciiTheme="minorHAnsi" w:hAnsiTheme="minorHAnsi" w:cstheme="minorHAnsi"/>
          <w:color w:val="auto"/>
          <w:sz w:val="22"/>
          <w:szCs w:val="22"/>
        </w:rPr>
        <w:t xml:space="preserve">capital letters </w:t>
      </w:r>
      <w:r w:rsidRPr="0009767E">
        <w:rPr>
          <w:rFonts w:asciiTheme="minorHAnsi" w:hAnsiTheme="minorHAnsi" w:cstheme="minorHAnsi"/>
          <w:color w:val="auto"/>
          <w:sz w:val="22"/>
          <w:szCs w:val="22"/>
        </w:rPr>
        <w:t>in the Agreement shall have the meaning assigned to them in the Agreement, unless the Agreement expressly provides otherwise.</w:t>
      </w:r>
    </w:p>
    <w:p w14:paraId="2C80E634" w14:textId="7B4F52F6" w:rsidR="00AE37CC" w:rsidRPr="0009767E" w:rsidRDefault="00AE37CC" w:rsidP="00AE37CC">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 xml:space="preserve">In connection with the performance of the Agreement, the Data Controller entrusts the Processor with the processing of </w:t>
      </w:r>
      <w:r w:rsidRPr="0009767E">
        <w:rPr>
          <w:rFonts w:asciiTheme="minorHAnsi" w:hAnsiTheme="minorHAnsi" w:cstheme="minorHAnsi"/>
          <w:bCs/>
          <w:color w:val="auto"/>
          <w:sz w:val="22"/>
          <w:szCs w:val="22"/>
        </w:rPr>
        <w:t>the</w:t>
      </w:r>
      <w:r w:rsidRPr="0009767E">
        <w:rPr>
          <w:rFonts w:asciiTheme="minorHAnsi" w:hAnsiTheme="minorHAnsi" w:cstheme="minorHAnsi"/>
          <w:b/>
          <w:color w:val="auto"/>
          <w:sz w:val="22"/>
          <w:szCs w:val="22"/>
        </w:rPr>
        <w:t xml:space="preserve"> </w:t>
      </w:r>
      <w:r w:rsidR="0057603A" w:rsidRPr="0009767E">
        <w:rPr>
          <w:rFonts w:asciiTheme="minorHAnsi" w:hAnsiTheme="minorHAnsi" w:cstheme="minorHAnsi"/>
          <w:color w:val="auto"/>
          <w:sz w:val="22"/>
          <w:szCs w:val="22"/>
        </w:rPr>
        <w:t xml:space="preserve">personal </w:t>
      </w:r>
      <w:r w:rsidRPr="0009767E">
        <w:rPr>
          <w:rFonts w:asciiTheme="minorHAnsi" w:hAnsiTheme="minorHAnsi" w:cstheme="minorHAnsi"/>
          <w:color w:val="auto"/>
          <w:sz w:val="22"/>
          <w:szCs w:val="22"/>
        </w:rPr>
        <w:t xml:space="preserve">data </w:t>
      </w:r>
      <w:r w:rsidR="0057603A" w:rsidRPr="0009767E">
        <w:rPr>
          <w:rFonts w:asciiTheme="minorHAnsi" w:hAnsiTheme="minorHAnsi" w:cstheme="minorHAnsi"/>
          <w:color w:val="auto"/>
          <w:sz w:val="22"/>
          <w:szCs w:val="22"/>
        </w:rPr>
        <w:t>of event participants</w:t>
      </w:r>
      <w:r w:rsidRPr="0009767E">
        <w:rPr>
          <w:rFonts w:asciiTheme="minorHAnsi" w:hAnsiTheme="minorHAnsi" w:cstheme="minorHAnsi"/>
          <w:color w:val="auto"/>
          <w:sz w:val="22"/>
          <w:szCs w:val="22"/>
        </w:rPr>
        <w:t xml:space="preserve">, which the Processor shall carry out on behalf of the FNP pursuant to the Agreement (hereinafter referred to as: </w:t>
      </w:r>
      <w:r w:rsidRPr="0009767E">
        <w:rPr>
          <w:rFonts w:asciiTheme="minorHAnsi" w:hAnsiTheme="minorHAnsi" w:cstheme="minorHAnsi"/>
          <w:b/>
          <w:color w:val="auto"/>
          <w:sz w:val="22"/>
          <w:szCs w:val="22"/>
        </w:rPr>
        <w:t xml:space="preserve">“Personal </w:t>
      </w:r>
      <w:r w:rsidRPr="0009767E">
        <w:rPr>
          <w:rFonts w:asciiTheme="minorHAnsi" w:hAnsiTheme="minorHAnsi" w:cstheme="minorHAnsi"/>
          <w:b/>
          <w:bCs/>
          <w:color w:val="auto"/>
          <w:sz w:val="22"/>
          <w:szCs w:val="22"/>
        </w:rPr>
        <w:t>Data</w:t>
      </w:r>
      <w:r w:rsidRPr="0009767E">
        <w:rPr>
          <w:rFonts w:asciiTheme="minorHAnsi" w:hAnsiTheme="minorHAnsi" w:cstheme="minorHAnsi"/>
          <w:color w:val="auto"/>
          <w:sz w:val="22"/>
          <w:szCs w:val="22"/>
        </w:rPr>
        <w:t>”) in accordance with the terms set out in the Data Processing Agreement.</w:t>
      </w:r>
    </w:p>
    <w:p w14:paraId="680C1F8C" w14:textId="77777777" w:rsidR="00AE37CC" w:rsidRPr="0009767E" w:rsidRDefault="00AE37CC" w:rsidP="00AE37CC">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In respect of the performance of the services specified in the Data Processing Agreement, the Processor shall not be entitled to any remuneration in addition to that specified in the Agreement.</w:t>
      </w:r>
    </w:p>
    <w:p w14:paraId="342322B7" w14:textId="77777777" w:rsidR="00AE37CC" w:rsidRPr="0009767E" w:rsidRDefault="00AE37CC" w:rsidP="00AE37CC">
      <w:pPr>
        <w:spacing w:after="0" w:line="240" w:lineRule="auto"/>
        <w:rPr>
          <w:rFonts w:cstheme="minorHAnsi"/>
        </w:rPr>
      </w:pPr>
    </w:p>
    <w:p w14:paraId="42F78CB0"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§2. Type of data</w:t>
      </w:r>
    </w:p>
    <w:p w14:paraId="2DDD1D59" w14:textId="77777777" w:rsidR="00AE37CC" w:rsidRPr="0009767E" w:rsidRDefault="00AE37CC" w:rsidP="00AE37CC">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scope of Personal Data entrusted for processing includes:</w:t>
      </w:r>
    </w:p>
    <w:p w14:paraId="272FF5BB"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bCs/>
          <w:sz w:val="22"/>
          <w:szCs w:val="22"/>
        </w:rPr>
      </w:pPr>
      <w:r w:rsidRPr="0009767E">
        <w:rPr>
          <w:rFonts w:asciiTheme="minorHAnsi" w:hAnsiTheme="minorHAnsi" w:cstheme="minorHAnsi"/>
          <w:bCs/>
          <w:sz w:val="22"/>
          <w:szCs w:val="22"/>
        </w:rPr>
        <w:t>first names and surnames;</w:t>
      </w:r>
    </w:p>
    <w:p w14:paraId="75F2D47B" w14:textId="6C24CFAA" w:rsidR="008E37D6" w:rsidRPr="0009767E" w:rsidRDefault="008E37D6" w:rsidP="008E37D6">
      <w:pPr>
        <w:pStyle w:val="Tekstpodstawowy"/>
        <w:numPr>
          <w:ilvl w:val="0"/>
          <w:numId w:val="26"/>
        </w:numPr>
        <w:spacing w:after="0"/>
        <w:ind w:left="851"/>
        <w:jc w:val="both"/>
        <w:rPr>
          <w:rFonts w:asciiTheme="minorHAnsi" w:hAnsiTheme="minorHAnsi" w:cstheme="minorHAnsi"/>
          <w:bCs/>
          <w:sz w:val="22"/>
          <w:szCs w:val="22"/>
        </w:rPr>
      </w:pPr>
      <w:r w:rsidRPr="0009767E">
        <w:rPr>
          <w:rFonts w:asciiTheme="minorHAnsi" w:hAnsiTheme="minorHAnsi" w:cstheme="minorHAnsi"/>
          <w:bCs/>
          <w:sz w:val="22"/>
          <w:szCs w:val="22"/>
        </w:rPr>
        <w:t xml:space="preserve">names (company names) and </w:t>
      </w:r>
      <w:r w:rsidR="0009767E">
        <w:rPr>
          <w:rFonts w:asciiTheme="minorHAnsi" w:hAnsiTheme="minorHAnsi" w:cstheme="minorHAnsi"/>
          <w:bCs/>
          <w:sz w:val="22"/>
          <w:szCs w:val="22"/>
        </w:rPr>
        <w:t>locations</w:t>
      </w:r>
      <w:r w:rsidRPr="0009767E">
        <w:rPr>
          <w:rFonts w:asciiTheme="minorHAnsi" w:hAnsiTheme="minorHAnsi" w:cstheme="minorHAnsi"/>
          <w:bCs/>
          <w:sz w:val="22"/>
          <w:szCs w:val="22"/>
        </w:rPr>
        <w:t xml:space="preserve"> of business or scientific activity;</w:t>
      </w:r>
    </w:p>
    <w:p w14:paraId="7FCE72CF"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bCs/>
          <w:sz w:val="22"/>
          <w:szCs w:val="22"/>
        </w:rPr>
      </w:pPr>
      <w:r w:rsidRPr="0009767E">
        <w:rPr>
          <w:rFonts w:asciiTheme="minorHAnsi" w:hAnsiTheme="minorHAnsi" w:cstheme="minorHAnsi"/>
          <w:bCs/>
          <w:sz w:val="22"/>
          <w:szCs w:val="22"/>
        </w:rPr>
        <w:t>name of the institution;</w:t>
      </w:r>
    </w:p>
    <w:p w14:paraId="2E17606B"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bCs/>
          <w:sz w:val="22"/>
          <w:szCs w:val="22"/>
        </w:rPr>
      </w:pPr>
      <w:r w:rsidRPr="0009767E">
        <w:rPr>
          <w:rFonts w:asciiTheme="minorHAnsi" w:hAnsiTheme="minorHAnsi" w:cstheme="minorHAnsi"/>
          <w:bCs/>
          <w:sz w:val="22"/>
          <w:szCs w:val="22"/>
        </w:rPr>
        <w:lastRenderedPageBreak/>
        <w:t>telephone numbers;</w:t>
      </w:r>
    </w:p>
    <w:p w14:paraId="51DAAE07"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sz w:val="22"/>
          <w:szCs w:val="22"/>
        </w:rPr>
      </w:pPr>
      <w:r w:rsidRPr="0009767E">
        <w:rPr>
          <w:rFonts w:asciiTheme="minorHAnsi" w:hAnsiTheme="minorHAnsi" w:cstheme="minorHAnsi"/>
          <w:sz w:val="22"/>
          <w:szCs w:val="22"/>
        </w:rPr>
        <w:t xml:space="preserve">email </w:t>
      </w:r>
      <w:r w:rsidRPr="0009767E">
        <w:rPr>
          <w:rFonts w:asciiTheme="minorHAnsi" w:hAnsiTheme="minorHAnsi" w:cstheme="minorHAnsi"/>
          <w:bCs/>
          <w:sz w:val="22"/>
          <w:szCs w:val="22"/>
        </w:rPr>
        <w:t>addresses</w:t>
      </w:r>
      <w:r w:rsidRPr="0009767E">
        <w:rPr>
          <w:rFonts w:asciiTheme="minorHAnsi" w:hAnsiTheme="minorHAnsi" w:cstheme="minorHAnsi"/>
          <w:sz w:val="22"/>
          <w:szCs w:val="22"/>
        </w:rPr>
        <w:t>;</w:t>
      </w:r>
    </w:p>
    <w:p w14:paraId="4D53357C"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sz w:val="22"/>
          <w:szCs w:val="22"/>
        </w:rPr>
      </w:pPr>
      <w:r w:rsidRPr="0009767E">
        <w:rPr>
          <w:rFonts w:asciiTheme="minorHAnsi" w:hAnsiTheme="minorHAnsi" w:cstheme="minorHAnsi"/>
          <w:sz w:val="22"/>
          <w:szCs w:val="22"/>
        </w:rPr>
        <w:t>image;</w:t>
      </w:r>
    </w:p>
    <w:p w14:paraId="0C37A1F4"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sz w:val="22"/>
          <w:szCs w:val="22"/>
        </w:rPr>
      </w:pPr>
      <w:r w:rsidRPr="0009767E">
        <w:rPr>
          <w:rFonts w:asciiTheme="minorHAnsi" w:hAnsiTheme="minorHAnsi" w:cstheme="minorHAnsi"/>
          <w:sz w:val="22"/>
          <w:szCs w:val="22"/>
        </w:rPr>
        <w:t>voice;</w:t>
      </w:r>
    </w:p>
    <w:p w14:paraId="4D4CC131"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sz w:val="22"/>
          <w:szCs w:val="22"/>
        </w:rPr>
      </w:pPr>
      <w:r w:rsidRPr="0009767E">
        <w:rPr>
          <w:rFonts w:asciiTheme="minorHAnsi" w:hAnsiTheme="minorHAnsi" w:cstheme="minorHAnsi"/>
          <w:sz w:val="22"/>
          <w:szCs w:val="22"/>
        </w:rPr>
        <w:t>academic degree, artistic degree, title, professional title, role in the project, education, position;</w:t>
      </w:r>
    </w:p>
    <w:p w14:paraId="149C4D72" w14:textId="77777777" w:rsidR="008E37D6" w:rsidRPr="0009767E" w:rsidRDefault="008E37D6" w:rsidP="008E37D6">
      <w:pPr>
        <w:pStyle w:val="Tekstpodstawowy"/>
        <w:numPr>
          <w:ilvl w:val="0"/>
          <w:numId w:val="26"/>
        </w:numPr>
        <w:spacing w:after="0"/>
        <w:ind w:left="851"/>
        <w:jc w:val="both"/>
        <w:rPr>
          <w:rFonts w:asciiTheme="minorHAnsi" w:hAnsiTheme="minorHAnsi" w:cstheme="minorHAnsi"/>
          <w:sz w:val="22"/>
          <w:szCs w:val="22"/>
        </w:rPr>
      </w:pPr>
      <w:r w:rsidRPr="0009767E">
        <w:rPr>
          <w:rFonts w:asciiTheme="minorHAnsi" w:hAnsiTheme="minorHAnsi" w:cstheme="minorHAnsi"/>
          <w:sz w:val="22"/>
          <w:szCs w:val="22"/>
        </w:rPr>
        <w:t>IP address.</w:t>
      </w:r>
    </w:p>
    <w:p w14:paraId="4978A328" w14:textId="77777777" w:rsidR="00AE37CC" w:rsidRPr="0009767E" w:rsidRDefault="00AE37CC" w:rsidP="00AE37CC">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scope of processing specified in paragraph 1 may be extended or restricted by the Data Controller at any time. Such restriction or extension may be effected by the Data Controller sending the Processor the new scope of Personal Data entrusted for processing via email (to the Processor’s email address:</w:t>
      </w:r>
      <w:r w:rsidRPr="0009767E">
        <w:rPr>
          <w:rFonts w:asciiTheme="minorHAnsi" w:hAnsiTheme="minorHAnsi" w:cstheme="minorHAnsi"/>
          <w:color w:val="auto"/>
          <w:sz w:val="22"/>
          <w:szCs w:val="22"/>
          <w:highlight w:val="yellow"/>
        </w:rPr>
        <w:t xml:space="preserve"> ………………………………). </w:t>
      </w:r>
      <w:r w:rsidRPr="0009767E">
        <w:rPr>
          <w:rFonts w:asciiTheme="minorHAnsi" w:hAnsiTheme="minorHAnsi" w:cstheme="minorHAnsi"/>
          <w:color w:val="auto"/>
          <w:sz w:val="22"/>
          <w:szCs w:val="22"/>
        </w:rPr>
        <w:t>In the absence of a response from the Processor within 3 working days of the date the message was sent by the Data Controller, it shall be deemed that the Processor has accepted the change to the scope of the processing.</w:t>
      </w:r>
    </w:p>
    <w:p w14:paraId="341811D8" w14:textId="77777777" w:rsidR="00AE37CC" w:rsidRPr="0009767E" w:rsidRDefault="00AE37CC" w:rsidP="00AE37CC">
      <w:pPr>
        <w:spacing w:after="0" w:line="240" w:lineRule="auto"/>
        <w:rPr>
          <w:rFonts w:cstheme="minorHAnsi"/>
        </w:rPr>
      </w:pPr>
    </w:p>
    <w:p w14:paraId="1A715CEB"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§3. Nature and purpose of processing</w:t>
      </w:r>
    </w:p>
    <w:p w14:paraId="0A0667DC" w14:textId="77777777" w:rsidR="00AE37CC" w:rsidRPr="0009767E" w:rsidRDefault="00AE37CC" w:rsidP="00AE37CC">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Processor is obliged to process Personal Data solely for the purpose of the proper performance of the Agreement and undertakes to apply such a nature of Personal Data processing as is justified for the purpose of performing the Agreement.</w:t>
      </w:r>
    </w:p>
    <w:p w14:paraId="32CB1726" w14:textId="77777777" w:rsidR="00AE37CC" w:rsidRPr="0009767E" w:rsidRDefault="00AE37CC" w:rsidP="00AE37CC">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Processor is not authorised to transfer Personal Data to a third country or an international organisation within the meaning of Regulation (EU) 2016/679 of the European Parliament and of the Council (EU) 2016/679 of 27 April 2016 on the protection of natural persons with regard to the processing of personal data and on the free movement of such data, and repealing Directive 95/46/EC (hereinafter: “GDPR”), without the prior express consent of the Data Controller.</w:t>
      </w:r>
    </w:p>
    <w:p w14:paraId="3443D76F" w14:textId="77777777" w:rsidR="00AE37CC" w:rsidRPr="0009767E" w:rsidRDefault="00AE37CC" w:rsidP="00AE37CC">
      <w:pPr>
        <w:spacing w:after="0" w:line="240" w:lineRule="auto"/>
        <w:rPr>
          <w:rFonts w:cstheme="minorHAnsi"/>
        </w:rPr>
      </w:pPr>
    </w:p>
    <w:p w14:paraId="29AC93DE"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§4. Declarations and obligations of the Processor</w:t>
      </w:r>
    </w:p>
    <w:p w14:paraId="5CB17D9E" w14:textId="77777777" w:rsidR="00AE37CC" w:rsidRPr="0009767E" w:rsidRDefault="00AE37CC" w:rsidP="00AE37CC">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Processor hereby declares and warrants that it possesses the infrastructure, experience, knowledge and qualified personnel necessary to properly perform the Data Processing Agreement, in accordance with the generally applicable laws in force in Poland. In particular, the Processor declares and warrants that it is familiar with and applies the principles of personal data protection arising from the GDPR.</w:t>
      </w:r>
    </w:p>
    <w:p w14:paraId="202D0BAA" w14:textId="77777777" w:rsidR="00AE37CC" w:rsidRPr="0009767E" w:rsidRDefault="00AE37CC" w:rsidP="00AE37CC">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Processor undertakes, in particular, to:</w:t>
      </w:r>
    </w:p>
    <w:p w14:paraId="7B25367F" w14:textId="77777777" w:rsidR="00AE37CC" w:rsidRPr="0009767E" w:rsidRDefault="00AE37CC" w:rsidP="00AE37CC">
      <w:pPr>
        <w:pStyle w:val="Nagwek2"/>
        <w:keepNext w:val="0"/>
        <w:keepLines w:val="0"/>
        <w:numPr>
          <w:ilvl w:val="0"/>
          <w:numId w:val="1"/>
        </w:numPr>
        <w:spacing w:before="0" w:line="240" w:lineRule="auto"/>
        <w:ind w:left="851" w:hanging="284"/>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process Personal Data solely within the scope specified in the Data Processing Agreement and solely for the purpose of the proper performance of the Agreement;</w:t>
      </w:r>
    </w:p>
    <w:p w14:paraId="5DA899C0"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process Personal Data solely on the documented instructions of the Data Controller (i.e. provided in the form of instructions, or in another written or electronic document supplied to the Processor by the Data Controller), unless such an obligation is imposed on it by applicable EU or national law – in which case the Processor shall inform the Data Controller, by email to the address:</w:t>
      </w:r>
      <w:hyperlink r:id="rId8" w:history="1">
        <w:r w:rsidRPr="0009767E">
          <w:rPr>
            <w:rStyle w:val="Hipercze"/>
            <w:rFonts w:cstheme="minorHAnsi"/>
          </w:rPr>
          <w:t>iodo@fnp.org.pl</w:t>
        </w:r>
      </w:hyperlink>
      <w:r w:rsidRPr="0009767E">
        <w:rPr>
          <w:rFonts w:cstheme="minorHAnsi"/>
        </w:rPr>
        <w:t xml:space="preserve"> – prior to commencing processing – of this legal obligation, provided that such law does not prohibit the provision of such information on grounds of an important public interest;</w:t>
      </w:r>
    </w:p>
    <w:p w14:paraId="281F3F15"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bCs/>
        </w:rPr>
        <w:t xml:space="preserve">process Personal Data in accordance with the legislation </w:t>
      </w:r>
      <w:r w:rsidRPr="0009767E">
        <w:rPr>
          <w:rFonts w:cstheme="minorHAnsi"/>
        </w:rPr>
        <w:t>in</w:t>
      </w:r>
      <w:r w:rsidRPr="0009767E">
        <w:rPr>
          <w:rFonts w:cstheme="minorHAnsi"/>
          <w:bCs/>
        </w:rPr>
        <w:t xml:space="preserve"> force </w:t>
      </w:r>
      <w:r w:rsidRPr="0009767E">
        <w:rPr>
          <w:rFonts w:cstheme="minorHAnsi"/>
        </w:rPr>
        <w:t xml:space="preserve">in Poland, in </w:t>
      </w:r>
      <w:r w:rsidRPr="0009767E">
        <w:rPr>
          <w:rFonts w:cstheme="minorHAnsi"/>
          <w:bCs/>
        </w:rPr>
        <w:t xml:space="preserve">particular to process Personal Data in accordance with </w:t>
      </w:r>
      <w:r w:rsidRPr="0009767E">
        <w:rPr>
          <w:rFonts w:cstheme="minorHAnsi"/>
        </w:rPr>
        <w:t>the GDPR and Polish legislation adopted to facilitate the application of the GDPR, other applicable laws in force in Poland, the Data Processing Agreement and the instructions of the Data Controller;</w:t>
      </w:r>
    </w:p>
    <w:p w14:paraId="51C3C46C"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when performing the Data Processing Agreement, to use only persons who have been granted a personal authorisation to process data in writing;</w:t>
      </w:r>
    </w:p>
    <w:p w14:paraId="5E533B20"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train all persons to whom the above authorisation is to be granted on the subject of personal data protection and criminal and civil liability arising from non-compliance with the regulations governing personal data protection;</w:t>
      </w:r>
    </w:p>
    <w:p w14:paraId="3A1016F0"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lastRenderedPageBreak/>
        <w:t>keep a register of persons authorised to process the entrusted Personal Data and make it available to the Data Controller upon request;</w:t>
      </w:r>
    </w:p>
    <w:p w14:paraId="164CC6A3"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oblige, in writing, the persons it engages in the performance of the Data Processing Agreement to keep Personal Data confidential;</w:t>
      </w:r>
    </w:p>
    <w:p w14:paraId="1A6D1FB4"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all members of the Processor’s staff who have access to Personal Data shall process Personal Data solely on the instructions of the Data Controller, unless required to do so by EU or national law;</w:t>
      </w:r>
    </w:p>
    <w:p w14:paraId="6765F09D"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process Personal Data in accordance with the highest standards of security and personal data protection required by applicable law;</w:t>
      </w:r>
    </w:p>
    <w:p w14:paraId="4CCCA807"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 xml:space="preserve">assist the Data Controller, in particular by implementing appropriate technical and organisational measures, in fulfilling the obligation to respond to requests from data subjects regarding the exercise of their rights as set out in Chapter III of the GDPR (Rights of the data subject). The Processor’s assistance shall be provided </w:t>
      </w:r>
      <w:r w:rsidRPr="0009767E">
        <w:rPr>
          <w:rFonts w:cstheme="minorHAnsi"/>
        </w:rPr>
        <w:br/>
        <w:t>in a form and within a timeframe enabling the Data Controller to fulfil such obligations properly and in a timely manner. In view of the above, the Processor is in particular obliged to:</w:t>
      </w:r>
    </w:p>
    <w:p w14:paraId="6256EB15" w14:textId="77777777" w:rsidR="00AE37CC" w:rsidRPr="0009767E" w:rsidRDefault="00AE37CC" w:rsidP="00AE37CC">
      <w:pPr>
        <w:pStyle w:val="Akapitzlist"/>
        <w:numPr>
          <w:ilvl w:val="0"/>
          <w:numId w:val="2"/>
        </w:numPr>
        <w:spacing w:after="0" w:line="240" w:lineRule="auto"/>
        <w:ind w:left="1276"/>
        <w:contextualSpacing w:val="0"/>
        <w:jc w:val="both"/>
        <w:rPr>
          <w:rFonts w:cstheme="minorHAnsi"/>
        </w:rPr>
      </w:pPr>
      <w:r w:rsidRPr="0009767E">
        <w:rPr>
          <w:rFonts w:cstheme="minorHAnsi"/>
        </w:rPr>
        <w:t xml:space="preserve">provide information and disclose Personal Data at the Data Controller’s request within 3 working days, in the form specified by the Data Controller; </w:t>
      </w:r>
    </w:p>
    <w:p w14:paraId="3B857CF7" w14:textId="77777777" w:rsidR="00AE37CC" w:rsidRPr="0009767E" w:rsidRDefault="00AE37CC" w:rsidP="00AE37CC">
      <w:pPr>
        <w:pStyle w:val="Akapitzlist"/>
        <w:numPr>
          <w:ilvl w:val="0"/>
          <w:numId w:val="2"/>
        </w:numPr>
        <w:spacing w:after="0" w:line="240" w:lineRule="auto"/>
        <w:ind w:left="1276"/>
        <w:contextualSpacing w:val="0"/>
        <w:jc w:val="both"/>
        <w:rPr>
          <w:rFonts w:cstheme="minorHAnsi"/>
        </w:rPr>
      </w:pPr>
      <w:r w:rsidRPr="0009767E">
        <w:rPr>
          <w:rFonts w:cstheme="minorHAnsi"/>
        </w:rPr>
        <w:t>The Processor shall also, without delay but no later than within 3 working days, inform the Data Controller of any request concerning the exercise of the data subject’s rights submitted to the Processor; for the avoidance of doubt, however, the Processor shall not respond to such a request without the prior consent or express instruction of the Data Controller;</w:t>
      </w:r>
    </w:p>
    <w:p w14:paraId="0B17DEA2"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assist the Data Controller in fulfilling the obligations set out in the GDPR, and in particular those specified in Articles 32–36 of the GDPR, i.e. in particular with regard to:</w:t>
      </w:r>
    </w:p>
    <w:p w14:paraId="2DC4AA98" w14:textId="77777777" w:rsidR="00AE37CC" w:rsidRPr="0009767E" w:rsidRDefault="00AE37CC" w:rsidP="00AE37CC">
      <w:pPr>
        <w:pStyle w:val="Akapitzlist"/>
        <w:numPr>
          <w:ilvl w:val="0"/>
          <w:numId w:val="2"/>
        </w:numPr>
        <w:spacing w:after="0" w:line="240" w:lineRule="auto"/>
        <w:ind w:left="1276"/>
        <w:contextualSpacing w:val="0"/>
        <w:jc w:val="both"/>
        <w:rPr>
          <w:rFonts w:cstheme="minorHAnsi"/>
        </w:rPr>
      </w:pPr>
      <w:r w:rsidRPr="0009767E">
        <w:rPr>
          <w:rFonts w:cstheme="minorHAnsi"/>
        </w:rPr>
        <w:t>ensuring the security of the processing of Personal Data by implementing appropriate technical and organisational measures in accordance with Clause 5 of the Data Processing Agreement;</w:t>
      </w:r>
    </w:p>
    <w:p w14:paraId="6CD15678" w14:textId="77777777" w:rsidR="00AE37CC" w:rsidRPr="0009767E" w:rsidRDefault="00AE37CC" w:rsidP="00AE37CC">
      <w:pPr>
        <w:pStyle w:val="Akapitzlist"/>
        <w:numPr>
          <w:ilvl w:val="0"/>
          <w:numId w:val="2"/>
        </w:numPr>
        <w:spacing w:after="0" w:line="240" w:lineRule="auto"/>
        <w:ind w:left="1276"/>
        <w:contextualSpacing w:val="0"/>
        <w:jc w:val="both"/>
        <w:rPr>
          <w:rFonts w:cstheme="minorHAnsi"/>
        </w:rPr>
      </w:pPr>
      <w:r w:rsidRPr="0009767E">
        <w:rPr>
          <w:rFonts w:cstheme="minorHAnsi"/>
        </w:rPr>
        <w:t>the procedure for reporting personal data breaches to the supervisory authority and notifying data subjects of such a breach, in accordance with § 6 of the Data Processing Agreement;</w:t>
      </w:r>
    </w:p>
    <w:p w14:paraId="35EF1DD9" w14:textId="77777777" w:rsidR="00AE37CC" w:rsidRPr="0009767E" w:rsidRDefault="00AE37CC" w:rsidP="00AE37CC">
      <w:pPr>
        <w:pStyle w:val="Akapitzlist"/>
        <w:numPr>
          <w:ilvl w:val="0"/>
          <w:numId w:val="2"/>
        </w:numPr>
        <w:spacing w:after="0" w:line="240" w:lineRule="auto"/>
        <w:ind w:left="1276"/>
        <w:contextualSpacing w:val="0"/>
        <w:jc w:val="both"/>
        <w:rPr>
          <w:rFonts w:cstheme="minorHAnsi"/>
        </w:rPr>
      </w:pPr>
      <w:r w:rsidRPr="0009767E">
        <w:rPr>
          <w:rFonts w:cstheme="minorHAnsi"/>
        </w:rPr>
        <w:t>the Data Controller carrying out a data protection impact assessment and consulting the supervisory authority;</w:t>
      </w:r>
    </w:p>
    <w:p w14:paraId="3158E92C"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providing the Data Controller, upon each request, no later than within 3 working days, all information necessary to demonstrate the Data Controller’s compliance with the legal obligations referred to in paragraph 1, and in particular with the GDPR, and to enable the Data Controller or an auditor authorised by the Data Controller to carry out audits, including inspections, in accordance with § 8 of the Data Processing Agreement;</w:t>
      </w:r>
    </w:p>
    <w:p w14:paraId="3AF60092"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keep a written record of all categories of processing activities carried out on behalf of the Data Controller, in accordance with Article 30 of the GDPR;</w:t>
      </w:r>
    </w:p>
    <w:p w14:paraId="0A80B4BD"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cooperate with the Data Controller in the event of an inspection, audit or investigation concerning the processing of Personal Data by a competent authority or in connection with an audit conducted by the Data Controller;</w:t>
      </w:r>
    </w:p>
    <w:p w14:paraId="06A26605"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provide the Data Controller with copies of inspection reports, requests or opinions from authorities addressed to the Processor, without a separate request from the Data Controller, no later than within 3 working days of receipt;</w:t>
      </w:r>
    </w:p>
    <w:p w14:paraId="1F307980" w14:textId="77777777" w:rsidR="00AE37CC" w:rsidRPr="0009767E" w:rsidRDefault="00AE37CC" w:rsidP="00AE37CC">
      <w:pPr>
        <w:pStyle w:val="Akapitzlist"/>
        <w:numPr>
          <w:ilvl w:val="0"/>
          <w:numId w:val="1"/>
        </w:numPr>
        <w:spacing w:after="0" w:line="240" w:lineRule="auto"/>
        <w:ind w:left="851" w:hanging="284"/>
        <w:contextualSpacing w:val="0"/>
        <w:jc w:val="both"/>
        <w:rPr>
          <w:rFonts w:cstheme="minorHAnsi"/>
        </w:rPr>
      </w:pPr>
      <w:r w:rsidRPr="0009767E">
        <w:rPr>
          <w:rFonts w:cstheme="minorHAnsi"/>
        </w:rPr>
        <w:t>immediately inform the Data Controller if, in its opinion, an instruction issued to it constitutes a breach of the GDPR or other EU or national data protection regulations. The Processor shall provide such information in electronic form to the email address</w:t>
      </w:r>
      <w:hyperlink r:id="rId9" w:history="1">
        <w:r w:rsidRPr="0009767E">
          <w:rPr>
            <w:rStyle w:val="Hipercze"/>
            <w:rFonts w:cstheme="minorHAnsi"/>
          </w:rPr>
          <w:t>iodo@fnp.org.pl</w:t>
        </w:r>
      </w:hyperlink>
      <w:r w:rsidRPr="0009767E">
        <w:rPr>
          <w:rFonts w:cstheme="minorHAnsi"/>
        </w:rPr>
        <w:t xml:space="preserve"> , and this </w:t>
      </w:r>
      <w:r w:rsidRPr="0009767E">
        <w:rPr>
          <w:rFonts w:cstheme="minorHAnsi"/>
        </w:rPr>
        <w:lastRenderedPageBreak/>
        <w:t>information shall include, in particular: 1) an indication of the provision which the instruction issued infringes; and 2) a statement of reasons containing factual and legal arguments.</w:t>
      </w:r>
    </w:p>
    <w:p w14:paraId="21B1F95F" w14:textId="77777777" w:rsidR="00AE37CC" w:rsidRPr="0009767E" w:rsidRDefault="00AE37CC" w:rsidP="00AE37CC">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Processor recognises the obligation to protect personal data as an obligation of all members of the Processor’s Staff, regardless of the legal relationship between the Processor and such persons. At the same time, the Processor undertakes that, should any of the persons referred to in the preceding sentence breach any rules regarding the protection of personal data, the Processor shall immediately remove them from performing activities related to the Data Processing Agreement and prevent them from accessing any Personal Data.</w:t>
      </w:r>
    </w:p>
    <w:p w14:paraId="43B86B22" w14:textId="77777777" w:rsidR="00AE37CC" w:rsidRPr="0009767E" w:rsidRDefault="00AE37CC" w:rsidP="00AE37CC">
      <w:pPr>
        <w:spacing w:after="0" w:line="240" w:lineRule="auto"/>
        <w:rPr>
          <w:rFonts w:cstheme="minorHAnsi"/>
        </w:rPr>
      </w:pPr>
    </w:p>
    <w:p w14:paraId="14F2C4FB"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§5. Measures to safeguard Personal Data</w:t>
      </w:r>
    </w:p>
    <w:p w14:paraId="407B8B8E" w14:textId="77777777" w:rsidR="00AE37CC" w:rsidRPr="0009767E" w:rsidRDefault="00AE37CC" w:rsidP="00AE37CC">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Processor undertakes to implement and apply appropriate technical and organisational measures to ensure a level of security appropriate to the risk of infringement of the rights or freedoms of natural persons whose Personal Data will be processed under the Data Processing Agreement, and to ensure the implementation of data protection principles at the design stage (</w:t>
      </w:r>
      <w:r w:rsidRPr="0009767E">
        <w:rPr>
          <w:rFonts w:asciiTheme="minorHAnsi" w:hAnsiTheme="minorHAnsi" w:cstheme="minorHAnsi"/>
          <w:i/>
          <w:color w:val="auto"/>
          <w:sz w:val="22"/>
          <w:szCs w:val="22"/>
        </w:rPr>
        <w:t>privacy by design</w:t>
      </w:r>
      <w:r w:rsidRPr="0009767E">
        <w:rPr>
          <w:rFonts w:asciiTheme="minorHAnsi" w:hAnsiTheme="minorHAnsi" w:cstheme="minorHAnsi"/>
          <w:color w:val="auto"/>
          <w:sz w:val="22"/>
          <w:szCs w:val="22"/>
        </w:rPr>
        <w:t>) and default data protection (</w:t>
      </w:r>
      <w:r w:rsidRPr="0009767E">
        <w:rPr>
          <w:rFonts w:asciiTheme="minorHAnsi" w:hAnsiTheme="minorHAnsi" w:cstheme="minorHAnsi"/>
          <w:i/>
          <w:color w:val="auto"/>
          <w:sz w:val="22"/>
          <w:szCs w:val="22"/>
        </w:rPr>
        <w:t>privacy by default</w:t>
      </w:r>
      <w:r w:rsidRPr="0009767E">
        <w:rPr>
          <w:rFonts w:asciiTheme="minorHAnsi" w:hAnsiTheme="minorHAnsi" w:cstheme="minorHAnsi"/>
          <w:color w:val="auto"/>
          <w:sz w:val="22"/>
          <w:szCs w:val="22"/>
        </w:rPr>
        <w:t>) – Article 25 of the GDPR.</w:t>
      </w:r>
    </w:p>
    <w:p w14:paraId="5EA58D2B" w14:textId="77777777" w:rsidR="00AE37CC" w:rsidRPr="0009767E" w:rsidRDefault="00AE37CC" w:rsidP="00AE37CC">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Data Controller shall have the right to issue binding instructions to the Processor regarding the implementation of additional/new security measures. The Processor shall implement such measures within a timeframe previously agreed with the Data Controller.</w:t>
      </w:r>
    </w:p>
    <w:p w14:paraId="10258882" w14:textId="77777777" w:rsidR="00AE37CC" w:rsidRPr="0009767E" w:rsidRDefault="00AE37CC" w:rsidP="00AE37CC">
      <w:pPr>
        <w:spacing w:after="0" w:line="240" w:lineRule="auto"/>
        <w:rPr>
          <w:rFonts w:cstheme="minorHAnsi"/>
        </w:rPr>
      </w:pPr>
    </w:p>
    <w:p w14:paraId="0AF2AD8F"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§6. The Processor’s information obligations. Incidents</w:t>
      </w:r>
    </w:p>
    <w:p w14:paraId="1AF9019F" w14:textId="77777777" w:rsidR="00AE37CC" w:rsidRPr="0009767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Processor is obliged to notify the Data Controller immediately, but no later than within 2 working days of becoming aware of the information, </w:t>
      </w:r>
      <w:r w:rsidRPr="0009767E">
        <w:rPr>
          <w:rFonts w:asciiTheme="minorHAnsi" w:eastAsia="Arial" w:hAnsiTheme="minorHAnsi" w:cstheme="minorHAnsi"/>
          <w:color w:val="auto"/>
          <w:sz w:val="22"/>
          <w:szCs w:val="22"/>
        </w:rPr>
        <w:t>by email to:</w:t>
      </w:r>
      <w:hyperlink r:id="rId10" w:history="1">
        <w:r w:rsidRPr="0009767E">
          <w:rPr>
            <w:rStyle w:val="Hipercze"/>
            <w:rFonts w:asciiTheme="minorHAnsi" w:eastAsia="Calibri" w:hAnsiTheme="minorHAnsi" w:cstheme="minorHAnsi"/>
            <w:sz w:val="22"/>
            <w:szCs w:val="22"/>
          </w:rPr>
          <w:t>iodo@fnp.org.pl</w:t>
        </w:r>
      </w:hyperlink>
      <w:r w:rsidRPr="0009767E">
        <w:rPr>
          <w:rFonts w:asciiTheme="minorHAnsi" w:eastAsia="Calibri" w:hAnsiTheme="minorHAnsi" w:cstheme="minorHAnsi"/>
          <w:color w:val="auto"/>
          <w:sz w:val="22"/>
          <w:szCs w:val="22"/>
        </w:rPr>
        <w:t xml:space="preserve"> , regarding:</w:t>
      </w:r>
    </w:p>
    <w:p w14:paraId="5DBFECDA" w14:textId="77777777" w:rsidR="00AE37CC" w:rsidRPr="0009767E" w:rsidRDefault="00AE37CC" w:rsidP="00AE37CC">
      <w:pPr>
        <w:pStyle w:val="Akapitzlist"/>
        <w:numPr>
          <w:ilvl w:val="0"/>
          <w:numId w:val="3"/>
        </w:numPr>
        <w:spacing w:after="0" w:line="240" w:lineRule="auto"/>
        <w:ind w:left="851" w:hanging="284"/>
        <w:contextualSpacing w:val="0"/>
        <w:jc w:val="both"/>
        <w:rPr>
          <w:rFonts w:cstheme="minorHAnsi"/>
        </w:rPr>
      </w:pPr>
      <w:r w:rsidRPr="0009767E">
        <w:rPr>
          <w:rFonts w:cstheme="minorHAnsi"/>
        </w:rPr>
        <w:t xml:space="preserve">any ongoing or planned inspection, audit or review concerning the processing of Personal Data by the Processor or a Sub-processor, and to allow the Data Controller to participate </w:t>
      </w:r>
      <w:r w:rsidRPr="0009767E">
        <w:rPr>
          <w:rFonts w:cstheme="minorHAnsi"/>
        </w:rPr>
        <w:br/>
        <w:t>in such an inspection, audit or review, provided that this is not prohibited by mandatory provisions of law or by the authority conducting the inspection;</w:t>
      </w:r>
    </w:p>
    <w:p w14:paraId="26EE5AF6" w14:textId="75045F7D" w:rsidR="00AE37CC" w:rsidRPr="0009767E" w:rsidRDefault="00AE37CC" w:rsidP="00AE37CC">
      <w:pPr>
        <w:pStyle w:val="Akapitzlist"/>
        <w:numPr>
          <w:ilvl w:val="0"/>
          <w:numId w:val="3"/>
        </w:numPr>
        <w:spacing w:after="0" w:line="240" w:lineRule="auto"/>
        <w:ind w:left="851" w:hanging="284"/>
        <w:contextualSpacing w:val="0"/>
        <w:jc w:val="both"/>
        <w:rPr>
          <w:rFonts w:eastAsia="Calibri" w:cstheme="minorHAnsi"/>
        </w:rPr>
      </w:pPr>
      <w:r w:rsidRPr="0009767E">
        <w:rPr>
          <w:rFonts w:cstheme="minorHAnsi"/>
        </w:rPr>
        <w:t>any proceedings in which the Controller or a Sub-processor is involved</w:t>
      </w:r>
      <w:r w:rsidR="0009767E">
        <w:rPr>
          <w:rFonts w:cstheme="minorHAnsi"/>
        </w:rPr>
        <w:t xml:space="preserve"> </w:t>
      </w:r>
      <w:r w:rsidRPr="0009767E">
        <w:rPr>
          <w:rFonts w:cstheme="minorHAnsi"/>
        </w:rPr>
        <w:t xml:space="preserve">in matters concerning the protection of Personal Data conducted by state or local government authorities, including in particular by the national supervisory authority (including in particular all correspondence with the PUODO or other supervisory authority with the aforementioned authorities, decisions issued by them, complaints under consideration, and inspections being conducted or announced), the police or a court (including, in particular, any proceedings concerning the entrusting of personal data for processing), unless this would be contrary to a decision issued by public administration bodies </w:t>
      </w:r>
      <w:r w:rsidRPr="0009767E">
        <w:rPr>
          <w:rFonts w:eastAsia="Calibri" w:cstheme="minorHAnsi"/>
        </w:rPr>
        <w:t>or to legal provisions of which it is aware.</w:t>
      </w:r>
    </w:p>
    <w:p w14:paraId="21245B32" w14:textId="77777777" w:rsidR="00AE37CC" w:rsidRPr="0009767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The Processor is obliged to notify the Data Controller immediately, but no later than within 8 hours, of any incident that has occurred (hereinafter referred to as: “Incident”), which is understood to mean:</w:t>
      </w:r>
    </w:p>
    <w:p w14:paraId="0ACB601D" w14:textId="77777777" w:rsidR="00AE37CC" w:rsidRPr="0009767E" w:rsidRDefault="00AE37CC" w:rsidP="00AE37CC">
      <w:pPr>
        <w:pStyle w:val="Akapitzlist"/>
        <w:numPr>
          <w:ilvl w:val="0"/>
          <w:numId w:val="4"/>
        </w:numPr>
        <w:spacing w:after="0" w:line="240" w:lineRule="auto"/>
        <w:ind w:left="851"/>
        <w:contextualSpacing w:val="0"/>
        <w:jc w:val="both"/>
        <w:rPr>
          <w:rFonts w:cstheme="minorHAnsi"/>
        </w:rPr>
      </w:pPr>
      <w:r w:rsidRPr="0009767E">
        <w:rPr>
          <w:rFonts w:cstheme="minorHAnsi"/>
        </w:rPr>
        <w:t>a breach of personal data protection rules or</w:t>
      </w:r>
    </w:p>
    <w:p w14:paraId="3732EEEF" w14:textId="77777777" w:rsidR="00AE37CC" w:rsidRPr="0009767E" w:rsidRDefault="00AE37CC" w:rsidP="00AE37CC">
      <w:pPr>
        <w:pStyle w:val="Akapitzlist"/>
        <w:numPr>
          <w:ilvl w:val="0"/>
          <w:numId w:val="4"/>
        </w:numPr>
        <w:spacing w:after="0" w:line="240" w:lineRule="auto"/>
        <w:ind w:left="851"/>
        <w:contextualSpacing w:val="0"/>
        <w:jc w:val="both"/>
        <w:rPr>
          <w:rFonts w:cstheme="minorHAnsi"/>
        </w:rPr>
      </w:pPr>
      <w:r w:rsidRPr="0009767E">
        <w:rPr>
          <w:rFonts w:cstheme="minorHAnsi"/>
        </w:rPr>
        <w:t xml:space="preserve">a suspected breach, or </w:t>
      </w:r>
    </w:p>
    <w:p w14:paraId="38051BB8" w14:textId="77777777" w:rsidR="00AE37CC" w:rsidRPr="0009767E" w:rsidRDefault="00AE37CC" w:rsidP="00AE37CC">
      <w:pPr>
        <w:pStyle w:val="Akapitzlist"/>
        <w:numPr>
          <w:ilvl w:val="0"/>
          <w:numId w:val="4"/>
        </w:numPr>
        <w:spacing w:after="0" w:line="240" w:lineRule="auto"/>
        <w:ind w:left="851"/>
        <w:contextualSpacing w:val="0"/>
        <w:jc w:val="both"/>
        <w:rPr>
          <w:rFonts w:cstheme="minorHAnsi"/>
        </w:rPr>
      </w:pPr>
      <w:r w:rsidRPr="0009767E">
        <w:rPr>
          <w:rFonts w:cstheme="minorHAnsi"/>
        </w:rPr>
        <w:t>an attempt to breach the rules on the protection of personal data.</w:t>
      </w:r>
    </w:p>
    <w:p w14:paraId="370533F7" w14:textId="77777777" w:rsidR="00AE37CC" w:rsidRPr="0009767E" w:rsidRDefault="00AE37CC" w:rsidP="00AE37CC">
      <w:pPr>
        <w:pStyle w:val="Nagwek2"/>
        <w:keepNext w:val="0"/>
        <w:keepLines w:val="0"/>
        <w:numPr>
          <w:ilvl w:val="0"/>
          <w:numId w:val="13"/>
        </w:numPr>
        <w:spacing w:before="0" w:line="240" w:lineRule="auto"/>
        <w:jc w:val="both"/>
        <w:rPr>
          <w:rFonts w:asciiTheme="minorHAnsi" w:eastAsia="Arial" w:hAnsiTheme="minorHAnsi" w:cstheme="minorHAnsi"/>
          <w:color w:val="auto"/>
          <w:sz w:val="22"/>
          <w:szCs w:val="22"/>
        </w:rPr>
      </w:pPr>
      <w:r w:rsidRPr="0009767E">
        <w:rPr>
          <w:rFonts w:asciiTheme="minorHAnsi" w:eastAsia="Arial" w:hAnsiTheme="minorHAnsi" w:cstheme="minorHAnsi"/>
          <w:color w:val="auto"/>
          <w:sz w:val="22"/>
          <w:szCs w:val="22"/>
        </w:rPr>
        <w:t xml:space="preserve">Incident </w:t>
      </w:r>
      <w:r w:rsidRPr="0009767E">
        <w:rPr>
          <w:rFonts w:asciiTheme="minorHAnsi" w:eastAsia="Calibri" w:hAnsiTheme="minorHAnsi" w:cstheme="minorHAnsi"/>
          <w:color w:val="auto"/>
          <w:sz w:val="22"/>
          <w:szCs w:val="22"/>
        </w:rPr>
        <w:t xml:space="preserve">reports </w:t>
      </w:r>
      <w:r w:rsidRPr="0009767E">
        <w:rPr>
          <w:rFonts w:asciiTheme="minorHAnsi" w:eastAsia="Arial" w:hAnsiTheme="minorHAnsi" w:cstheme="minorHAnsi"/>
          <w:color w:val="auto"/>
          <w:sz w:val="22"/>
          <w:szCs w:val="22"/>
        </w:rPr>
        <w:t>should be sent to the following email address:</w:t>
      </w:r>
      <w:hyperlink r:id="rId11" w:history="1">
        <w:r w:rsidRPr="0009767E">
          <w:rPr>
            <w:rStyle w:val="Hipercze"/>
            <w:rFonts w:asciiTheme="minorHAnsi" w:eastAsia="Arial" w:hAnsiTheme="minorHAnsi" w:cstheme="minorHAnsi"/>
            <w:sz w:val="22"/>
            <w:szCs w:val="22"/>
          </w:rPr>
          <w:t>iodo@fnp.org.pl</w:t>
        </w:r>
      </w:hyperlink>
      <w:r w:rsidRPr="0009767E">
        <w:rPr>
          <w:rFonts w:asciiTheme="minorHAnsi" w:eastAsia="Arial" w:hAnsiTheme="minorHAnsi" w:cstheme="minorHAnsi"/>
          <w:color w:val="auto"/>
          <w:sz w:val="22"/>
          <w:szCs w:val="22"/>
        </w:rPr>
        <w:t xml:space="preserve"> (along with a simultaneous telephone notification of the incident to 665-888-709) </w:t>
      </w:r>
      <w:r w:rsidRPr="0009767E">
        <w:rPr>
          <w:rFonts w:asciiTheme="minorHAnsi" w:eastAsia="Arial" w:hAnsiTheme="minorHAnsi" w:cstheme="minorHAnsi"/>
          <w:color w:val="auto"/>
          <w:sz w:val="22"/>
          <w:szCs w:val="22"/>
        </w:rPr>
        <w:br/>
        <w:t>and must contain at least the following information:</w:t>
      </w:r>
    </w:p>
    <w:p w14:paraId="5DA76791" w14:textId="77777777" w:rsidR="00AE37CC" w:rsidRPr="0009767E" w:rsidRDefault="00AE37CC" w:rsidP="00AE37CC">
      <w:pPr>
        <w:pStyle w:val="Akapitzlist"/>
        <w:numPr>
          <w:ilvl w:val="0"/>
          <w:numId w:val="14"/>
        </w:numPr>
        <w:spacing w:after="0" w:line="240" w:lineRule="auto"/>
        <w:ind w:left="851"/>
        <w:contextualSpacing w:val="0"/>
        <w:jc w:val="both"/>
        <w:rPr>
          <w:rFonts w:cstheme="minorHAnsi"/>
        </w:rPr>
      </w:pPr>
      <w:r w:rsidRPr="0009767E">
        <w:rPr>
          <w:rFonts w:cstheme="minorHAnsi"/>
        </w:rPr>
        <w:t>a detailed description of the Incident, in particular: the date, duration, location of the Incident and its scale (including the approximate number of people affected by the Incident and the categories of those people);</w:t>
      </w:r>
    </w:p>
    <w:p w14:paraId="7A3D0189" w14:textId="77777777" w:rsidR="00AE37CC" w:rsidRPr="0009767E" w:rsidRDefault="00AE37CC" w:rsidP="00AE37CC">
      <w:pPr>
        <w:pStyle w:val="Akapitzlist"/>
        <w:numPr>
          <w:ilvl w:val="0"/>
          <w:numId w:val="14"/>
        </w:numPr>
        <w:spacing w:after="0" w:line="240" w:lineRule="auto"/>
        <w:ind w:left="851"/>
        <w:contextualSpacing w:val="0"/>
        <w:jc w:val="both"/>
        <w:rPr>
          <w:rFonts w:cstheme="minorHAnsi"/>
        </w:rPr>
      </w:pPr>
      <w:r w:rsidRPr="0009767E">
        <w:rPr>
          <w:rFonts w:cstheme="minorHAnsi"/>
        </w:rPr>
        <w:t>the name and contact details of a person who can provide further information about the Incident;</w:t>
      </w:r>
    </w:p>
    <w:p w14:paraId="1170D923" w14:textId="77777777" w:rsidR="00AE37CC" w:rsidRPr="0009767E" w:rsidRDefault="00AE37CC" w:rsidP="00AE37CC">
      <w:pPr>
        <w:pStyle w:val="Akapitzlist"/>
        <w:numPr>
          <w:ilvl w:val="0"/>
          <w:numId w:val="14"/>
        </w:numPr>
        <w:spacing w:after="0" w:line="240" w:lineRule="auto"/>
        <w:ind w:left="851"/>
        <w:contextualSpacing w:val="0"/>
        <w:jc w:val="both"/>
        <w:rPr>
          <w:rFonts w:eastAsia="Calibri" w:cstheme="minorHAnsi"/>
        </w:rPr>
      </w:pPr>
      <w:r w:rsidRPr="0009767E">
        <w:rPr>
          <w:rFonts w:cstheme="minorHAnsi"/>
        </w:rPr>
        <w:t xml:space="preserve">a description of </w:t>
      </w:r>
      <w:r w:rsidRPr="0009767E">
        <w:rPr>
          <w:rFonts w:eastAsia="Calibri" w:cstheme="minorHAnsi"/>
        </w:rPr>
        <w:t>the measures taken by the Processor to minimise any potential adverse effects of the Incident.</w:t>
      </w:r>
    </w:p>
    <w:p w14:paraId="3146CAA3" w14:textId="77777777" w:rsidR="00AE37CC" w:rsidRPr="0009767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lastRenderedPageBreak/>
        <w:t xml:space="preserve">The Processor is obliged to provide the Data Controller with all documents and information relating to the Incident immediately, but no later than within 8 hours, upon any request from the Data Controller. </w:t>
      </w:r>
    </w:p>
    <w:p w14:paraId="03D8AE87" w14:textId="77777777" w:rsidR="00AE37CC" w:rsidRPr="0009767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Processor is obliged to comply with any guidelines or instructions from the Data Controller in order to minimise any potential adverse effects of the Incident and prevent its recurrence in the future. </w:t>
      </w:r>
    </w:p>
    <w:p w14:paraId="2AAC2652" w14:textId="77777777" w:rsidR="00AE37CC" w:rsidRPr="0009767E" w:rsidRDefault="00AE37CC" w:rsidP="00AE37CC">
      <w:pPr>
        <w:spacing w:after="0" w:line="240" w:lineRule="auto"/>
        <w:rPr>
          <w:rFonts w:cstheme="minorHAnsi"/>
        </w:rPr>
      </w:pPr>
    </w:p>
    <w:p w14:paraId="2946D0E3"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§7. Further entrustment of the processing of Personal Data</w:t>
      </w:r>
    </w:p>
    <w:p w14:paraId="1CC857AE" w14:textId="77777777" w:rsidR="00AE37CC" w:rsidRPr="0009767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bookmarkStart w:id="0" w:name="_Ref467615541"/>
      <w:r w:rsidRPr="0009767E">
        <w:rPr>
          <w:rFonts w:asciiTheme="minorHAnsi" w:eastAsia="Calibri" w:hAnsiTheme="minorHAnsi" w:cstheme="minorHAnsi"/>
          <w:color w:val="auto"/>
          <w:sz w:val="22"/>
          <w:szCs w:val="22"/>
        </w:rPr>
        <w:t>The Processor is authorised to further entrust the processing of Personal Data to a sub-processor (hereinafter: “Sub-processor”). At the same time, the Processor undertakes to use only the services of such Sub-processors who provide sufficient guarantees that they have implemented appropriate technical and organisational measures to ensure that the processing complies with the requirements of the GDPR and applicable data protection legislation, and safeguards the rights of data subjects.</w:t>
      </w:r>
    </w:p>
    <w:p w14:paraId="4CD85F10" w14:textId="77777777" w:rsidR="00AE37CC" w:rsidRPr="0009767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In the event of further entrustment of Personal Data in accordance with paragraph 1, the Processor is obliged, prior to such further entrustment, to provide the Data Controller with a list of Sub-processors. The Processor is further obliged to inform the Data Controller in advance of any changes regarding the addition or replacement of Sub-processors.</w:t>
      </w:r>
      <w:bookmarkEnd w:id="0"/>
      <w:r w:rsidRPr="0009767E">
        <w:rPr>
          <w:rFonts w:asciiTheme="minorHAnsi" w:eastAsia="Calibri" w:hAnsiTheme="minorHAnsi" w:cstheme="minorHAnsi"/>
          <w:color w:val="auto"/>
          <w:sz w:val="22"/>
          <w:szCs w:val="22"/>
        </w:rPr>
        <w:t xml:space="preserve"> </w:t>
      </w:r>
    </w:p>
    <w:p w14:paraId="23C3D323" w14:textId="77777777" w:rsidR="00AE37CC" w:rsidRPr="0009767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The Data Controller is entitled to object to changes to Sub-</w:t>
      </w:r>
      <w:proofErr w:type="spellStart"/>
      <w:r w:rsidRPr="0009767E">
        <w:rPr>
          <w:rFonts w:asciiTheme="minorHAnsi" w:eastAsia="Calibri" w:hAnsiTheme="minorHAnsi" w:cstheme="minorHAnsi"/>
          <w:color w:val="auto"/>
          <w:sz w:val="22"/>
          <w:szCs w:val="22"/>
        </w:rPr>
        <w:t>processorsor</w:t>
      </w:r>
      <w:proofErr w:type="spellEnd"/>
      <w:r w:rsidRPr="0009767E">
        <w:rPr>
          <w:rFonts w:asciiTheme="minorHAnsi" w:eastAsia="Calibri" w:hAnsiTheme="minorHAnsi" w:cstheme="minorHAnsi"/>
          <w:color w:val="auto"/>
          <w:sz w:val="22"/>
          <w:szCs w:val="22"/>
        </w:rPr>
        <w:t xml:space="preserve"> the addition of new Sub-processors referred to in paragraph 1, without giving any reason, as well as to request the cessation of the entrustment of the processing of Personal Data to a Sub-processor, should it be found that the Sub-processor does not guarantee the application of appropriate technical or organisational measures to ensure the security of Personal Data. </w:t>
      </w:r>
    </w:p>
    <w:p w14:paraId="2A87B5E4" w14:textId="77777777" w:rsidR="00AE37CC" w:rsidRPr="0009767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Processor shall ensure that the agreements it concludes with Sub-processors contain provisions identical to those contained in the Data Processing Agreement, in particular imposing on Sub-processors the obligation to implement and apply at least the same level of protection of Personal Data as provided for in the Data Processing Agreement. </w:t>
      </w:r>
    </w:p>
    <w:p w14:paraId="3359ACF1" w14:textId="77777777" w:rsidR="00AE37CC" w:rsidRPr="0009767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The Processor shall be liable for the acts or omissions of any entity to which it has entrusted the further processing of Personal Data as for its own acts or omissions.</w:t>
      </w:r>
    </w:p>
    <w:p w14:paraId="124C6D79" w14:textId="77777777" w:rsidR="00AE37CC" w:rsidRPr="0009767E" w:rsidRDefault="00AE37CC" w:rsidP="00AE37CC">
      <w:pPr>
        <w:spacing w:after="0" w:line="240" w:lineRule="auto"/>
        <w:rPr>
          <w:rFonts w:cstheme="minorHAnsi"/>
        </w:rPr>
      </w:pPr>
    </w:p>
    <w:p w14:paraId="19107F38"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§8. Data Controller Audits</w:t>
      </w:r>
    </w:p>
    <w:p w14:paraId="28ED4D07" w14:textId="77777777" w:rsidR="00AE37CC" w:rsidRPr="0009767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The Data Controller shall be entitled to audit the processing of Personal Data by the Processor in accordance with the rules set out in this paragraph. For the purposes of this paragraph, the Data Controller shall also be understood to include an external auditor acting on behalf of the Data Controller.</w:t>
      </w:r>
    </w:p>
    <w:p w14:paraId="32B0DC89" w14:textId="77777777" w:rsidR="00AE37CC" w:rsidRPr="0009767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Data Controller shall notify the Processor of its intention to conduct an audit 7 days in advance, specifying the date of the audit. In justified cases, where the conduct of an audit is necessary to ensure the correctness of the processing of Personal Data, including its security, the Processor may conduct an audit without the notice referred to </w:t>
      </w:r>
      <w:r w:rsidRPr="0009767E">
        <w:rPr>
          <w:rFonts w:asciiTheme="minorHAnsi" w:eastAsia="Calibri" w:hAnsiTheme="minorHAnsi" w:cstheme="minorHAnsi"/>
          <w:color w:val="auto"/>
          <w:sz w:val="22"/>
          <w:szCs w:val="22"/>
        </w:rPr>
        <w:br/>
        <w:t xml:space="preserve">in the preceding sentence. </w:t>
      </w:r>
    </w:p>
    <w:p w14:paraId="46094930" w14:textId="77777777" w:rsidR="00AE37CC" w:rsidRPr="0009767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The Processor is obliged to cooperate with the Data Controller during the audit, in particular:</w:t>
      </w:r>
    </w:p>
    <w:p w14:paraId="6D4992F9" w14:textId="77777777" w:rsidR="00AE37CC" w:rsidRPr="0009767E" w:rsidRDefault="00AE37CC" w:rsidP="00AE37CC">
      <w:pPr>
        <w:pStyle w:val="Akapitzlist"/>
        <w:numPr>
          <w:ilvl w:val="0"/>
          <w:numId w:val="5"/>
        </w:numPr>
        <w:spacing w:after="0" w:line="240" w:lineRule="auto"/>
        <w:ind w:left="851"/>
        <w:contextualSpacing w:val="0"/>
        <w:jc w:val="both"/>
        <w:rPr>
          <w:rFonts w:cstheme="minorHAnsi"/>
        </w:rPr>
      </w:pPr>
      <w:r w:rsidRPr="0009767E">
        <w:rPr>
          <w:rFonts w:cstheme="minorHAnsi"/>
        </w:rPr>
        <w:t>grant the Data Controller access to all premises where the processing of Personal Data takes place;</w:t>
      </w:r>
    </w:p>
    <w:p w14:paraId="3A9840CF" w14:textId="77777777" w:rsidR="00AE37CC" w:rsidRPr="0009767E" w:rsidRDefault="00AE37CC" w:rsidP="00AE37CC">
      <w:pPr>
        <w:pStyle w:val="Akapitzlist"/>
        <w:numPr>
          <w:ilvl w:val="0"/>
          <w:numId w:val="5"/>
        </w:numPr>
        <w:spacing w:after="0" w:line="240" w:lineRule="auto"/>
        <w:ind w:left="851"/>
        <w:contextualSpacing w:val="0"/>
        <w:jc w:val="both"/>
        <w:rPr>
          <w:rFonts w:cstheme="minorHAnsi"/>
        </w:rPr>
      </w:pPr>
      <w:r w:rsidRPr="0009767E">
        <w:rPr>
          <w:rFonts w:cstheme="minorHAnsi"/>
        </w:rPr>
        <w:t>to allow the Controller to inspect the documentation relating to the processing of Personal Data and any IT systems used by the Processor for the purpose of processing Personal Data, as well as the documentation thereof;</w:t>
      </w:r>
    </w:p>
    <w:p w14:paraId="7DFB23D5" w14:textId="77777777" w:rsidR="00AE37CC" w:rsidRPr="0009767E" w:rsidRDefault="00AE37CC" w:rsidP="00AE37CC">
      <w:pPr>
        <w:pStyle w:val="Akapitzlist"/>
        <w:numPr>
          <w:ilvl w:val="0"/>
          <w:numId w:val="5"/>
        </w:numPr>
        <w:spacing w:after="0" w:line="240" w:lineRule="auto"/>
        <w:ind w:left="851"/>
        <w:contextualSpacing w:val="0"/>
        <w:jc w:val="both"/>
        <w:rPr>
          <w:rFonts w:eastAsia="Calibri" w:cstheme="minorHAnsi"/>
        </w:rPr>
      </w:pPr>
      <w:r w:rsidRPr="0009767E">
        <w:rPr>
          <w:rFonts w:eastAsia="Calibri" w:cstheme="minorHAnsi"/>
        </w:rPr>
        <w:t xml:space="preserve">provide the Data Controller with any clarifications and information regarding the processing of Personal Data without delay. </w:t>
      </w:r>
    </w:p>
    <w:p w14:paraId="269A8C08" w14:textId="77777777" w:rsidR="00AE37CC" w:rsidRPr="0009767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audit shall be confirmed by a report. Upon completion of the audit referred to above, a representative of the Data Controller shall draw up a report in 2 (two) copies, which shall be </w:t>
      </w:r>
      <w:r w:rsidRPr="0009767E">
        <w:rPr>
          <w:rFonts w:asciiTheme="minorHAnsi" w:eastAsia="Calibri" w:hAnsiTheme="minorHAnsi" w:cstheme="minorHAnsi"/>
          <w:color w:val="auto"/>
          <w:sz w:val="22"/>
          <w:szCs w:val="22"/>
        </w:rPr>
        <w:lastRenderedPageBreak/>
        <w:t xml:space="preserve">signed by representatives of both Parties. In the event that the Processor’s representative refuses to sign the report, the Data Controller’s representative shall make a note to that effect on the report and sign it alone. </w:t>
      </w:r>
    </w:p>
    <w:p w14:paraId="11FAC6E1" w14:textId="77777777" w:rsidR="00AE37CC" w:rsidRPr="0009767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bookmarkStart w:id="1" w:name="_Ref467596821"/>
      <w:r w:rsidRPr="0009767E">
        <w:rPr>
          <w:rFonts w:asciiTheme="minorHAnsi" w:eastAsia="Calibri" w:hAnsiTheme="minorHAnsi" w:cstheme="minorHAnsi"/>
          <w:color w:val="auto"/>
          <w:sz w:val="22"/>
          <w:szCs w:val="22"/>
        </w:rPr>
        <w:t xml:space="preserve">Upon completion of the audit, the Data Controller may provide the Processor with guidelines or comments, which the Processor is obliged to comply with within the timeframe specified by the Data Controller. </w:t>
      </w:r>
      <w:bookmarkEnd w:id="1"/>
    </w:p>
    <w:p w14:paraId="5CAC7383" w14:textId="77777777" w:rsidR="00AE37CC" w:rsidRPr="0009767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Data Controller shall also be entitled to conduct audits of Sub-processors. The Processor shall ensure that agreements concluded with Sub-processors provide for the Data Controller’s right to conduct an audit of the Sub-processor, on terms no less favourable to the Data Controller than those set out in this paragraph. </w:t>
      </w:r>
    </w:p>
    <w:p w14:paraId="5ED85742" w14:textId="77777777" w:rsidR="00AE37CC" w:rsidRPr="0009767E" w:rsidRDefault="00AE37CC" w:rsidP="00AE37CC">
      <w:pPr>
        <w:spacing w:after="0" w:line="240" w:lineRule="auto"/>
        <w:rPr>
          <w:rFonts w:cstheme="minorHAnsi"/>
        </w:rPr>
      </w:pPr>
    </w:p>
    <w:p w14:paraId="2C9863AF"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§9. Liability of the Processor. Contractual penalties</w:t>
      </w:r>
    </w:p>
    <w:p w14:paraId="6D34E8D8" w14:textId="77777777" w:rsidR="00AE37CC" w:rsidRPr="0009767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Processor shall bear full liability for improper performance or non-performance of the Data Processing Agreement or for any breach of data protection regulations. </w:t>
      </w:r>
    </w:p>
    <w:p w14:paraId="21D5901F" w14:textId="77777777" w:rsidR="00AE37CC" w:rsidRPr="0009767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The Processor shall pay the Data Controller a contractual penalty in each of the following cases:</w:t>
      </w:r>
    </w:p>
    <w:p w14:paraId="6EDCA20E" w14:textId="77777777" w:rsidR="00EB5DD8" w:rsidRPr="0009767E" w:rsidRDefault="00EB5DD8" w:rsidP="00EB5DD8">
      <w:pPr>
        <w:pStyle w:val="Akapitzlist"/>
        <w:numPr>
          <w:ilvl w:val="0"/>
          <w:numId w:val="6"/>
        </w:numPr>
        <w:spacing w:after="0" w:line="240" w:lineRule="auto"/>
        <w:ind w:left="851" w:hanging="284"/>
        <w:contextualSpacing w:val="0"/>
        <w:jc w:val="both"/>
        <w:rPr>
          <w:rFonts w:cstheme="minorHAnsi"/>
        </w:rPr>
      </w:pPr>
      <w:r w:rsidRPr="0009767E">
        <w:rPr>
          <w:rFonts w:eastAsia="Calibri" w:cstheme="minorHAnsi"/>
        </w:rPr>
        <w:t xml:space="preserve">in </w:t>
      </w:r>
      <w:r w:rsidRPr="0009767E">
        <w:rPr>
          <w:rFonts w:cstheme="minorHAnsi"/>
        </w:rPr>
        <w:t>the event of a delay by the Processor in providing information about an Incident, in accordance with § 6(2) of the Data Processing Agreement, in the amount of PLN 500 for each commenced hour of delay;</w:t>
      </w:r>
    </w:p>
    <w:p w14:paraId="2141E4D4" w14:textId="77777777" w:rsidR="00EB5DD8" w:rsidRPr="0009767E" w:rsidRDefault="00EB5DD8" w:rsidP="00EB5DD8">
      <w:pPr>
        <w:pStyle w:val="Akapitzlist"/>
        <w:numPr>
          <w:ilvl w:val="0"/>
          <w:numId w:val="6"/>
        </w:numPr>
        <w:spacing w:after="0" w:line="240" w:lineRule="auto"/>
        <w:ind w:left="851" w:hanging="284"/>
        <w:contextualSpacing w:val="0"/>
        <w:jc w:val="both"/>
        <w:rPr>
          <w:rFonts w:cstheme="minorHAnsi"/>
        </w:rPr>
      </w:pPr>
      <w:r w:rsidRPr="0009767E">
        <w:rPr>
          <w:rFonts w:cstheme="minorHAnsi"/>
        </w:rPr>
        <w:t>in the event of a breach of the provisions of the Data Processing Agreement other than those specified in point (a), in the amount of PLN 5,000 for each instance of breach;</w:t>
      </w:r>
    </w:p>
    <w:p w14:paraId="77F468A9" w14:textId="2DD07403" w:rsidR="00EB5DD8" w:rsidRPr="0009767E" w:rsidRDefault="00EB5DD8" w:rsidP="00EB5DD8">
      <w:pPr>
        <w:pStyle w:val="Akapitzlist"/>
        <w:numPr>
          <w:ilvl w:val="0"/>
          <w:numId w:val="6"/>
        </w:numPr>
        <w:spacing w:after="0" w:line="240" w:lineRule="auto"/>
        <w:ind w:left="851" w:hanging="284"/>
        <w:jc w:val="both"/>
        <w:rPr>
          <w:rFonts w:eastAsia="Calibri"/>
        </w:rPr>
      </w:pPr>
      <w:r w:rsidRPr="0009767E">
        <w:t xml:space="preserve">in the event of a failure </w:t>
      </w:r>
      <w:r w:rsidR="003D3331" w:rsidRPr="0009767E">
        <w:rPr>
          <w:rFonts w:ascii="Calibri" w:eastAsia="Calibri" w:hAnsi="Calibri" w:cs="Calibri"/>
        </w:rPr>
        <w:t>to meet</w:t>
      </w:r>
      <w:r w:rsidR="003D3331" w:rsidRPr="0009767E">
        <w:t xml:space="preserve"> the deadline </w:t>
      </w:r>
      <w:r w:rsidR="003D3331" w:rsidRPr="0009767E">
        <w:rPr>
          <w:rFonts w:ascii="Calibri" w:eastAsia="Calibri" w:hAnsi="Calibri" w:cs="Calibri"/>
        </w:rPr>
        <w:t xml:space="preserve">for performing </w:t>
      </w:r>
      <w:r w:rsidRPr="0009767E">
        <w:t xml:space="preserve">the activities referred to in § 10(1) of the Data Processing Agreement, in the amount of PLN 500 for each day or part thereof </w:t>
      </w:r>
      <w:r w:rsidRPr="0009767E">
        <w:rPr>
          <w:rFonts w:eastAsia="Calibri"/>
        </w:rPr>
        <w:t>of delay.</w:t>
      </w:r>
    </w:p>
    <w:p w14:paraId="3CCBFB75" w14:textId="77777777" w:rsidR="00AE37CC" w:rsidRPr="0009767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The Data Controller shall be entitled to claim compensation in full should the damage exceed the value of the contractual penalties charged. </w:t>
      </w:r>
    </w:p>
    <w:p w14:paraId="787A9623" w14:textId="77777777" w:rsidR="00AE37CC" w:rsidRPr="0009767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Contractual penalties shall be payable within 7 (seven) days of the Processor receiving the debit note to the bank account specified in the debit note.</w:t>
      </w:r>
    </w:p>
    <w:p w14:paraId="11DEA65E" w14:textId="77777777" w:rsidR="00AE37CC" w:rsidRPr="0009767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bookmarkStart w:id="2" w:name="_Ref467599249"/>
      <w:r w:rsidRPr="0009767E">
        <w:rPr>
          <w:rFonts w:asciiTheme="minorHAnsi" w:eastAsia="Calibri" w:hAnsiTheme="minorHAnsi" w:cstheme="minorHAnsi"/>
          <w:color w:val="auto"/>
          <w:sz w:val="22"/>
          <w:szCs w:val="22"/>
        </w:rPr>
        <w:t>In the event of a breach of the regulations governing the protection of personal data for reasons attributable to the Processor, the Processor undertakes to reimburse the Data Controller for all costs incurred as a result of a final court judgment, a final decision by a regulatory authority, or a settlement reached with the Processor’s consent, including the costs of publishing the judgment or statement, legal costs, compensation and damages which the Data Controller incurs in connection with a breach of the regulations governing the protection of personal data for reasons attributable to the Processor. In the event that a third party brings an action against the Data Controller for infringement of the third party’s rights in connection with a breach of the provisions governing the protection of personal data for reasons attributable to the Processor, the Processor shall join the proceedings as a defendant, and where this is not possible, shall intervene on the defendant’s side. The Processor shall pay the Data Controller the aforementioned amounts within 7 (seven) days of the date on which the judgment becomes final, the final decision of the authority is issued, or a settlement is reached.</w:t>
      </w:r>
      <w:bookmarkEnd w:id="2"/>
    </w:p>
    <w:p w14:paraId="25A11C1F" w14:textId="77777777" w:rsidR="00AE37CC" w:rsidRPr="0009767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Notwithstanding the obligations set out in paragraph 5, the Processor is obliged to provide </w:t>
      </w:r>
      <w:r w:rsidRPr="0009767E">
        <w:rPr>
          <w:rFonts w:asciiTheme="minorHAnsi" w:eastAsia="Calibri" w:hAnsiTheme="minorHAnsi" w:cstheme="minorHAnsi"/>
          <w:color w:val="auto"/>
          <w:sz w:val="22"/>
          <w:szCs w:val="22"/>
        </w:rPr>
        <w:br/>
        <w:t>in the course of the proceedings referred to therein, all necessary explanations, information or documents. The Processor also undertakes to take reasonable, legally permissible measures aimed at protecting the Data Controller against proceedings, complaints, legal actions or other measures resulting from the Processor’s breach of personal data protection rules.</w:t>
      </w:r>
    </w:p>
    <w:p w14:paraId="30C09F0A" w14:textId="77777777" w:rsidR="00AE37CC" w:rsidRPr="0009767E" w:rsidRDefault="00AE37CC" w:rsidP="00AE37CC">
      <w:pPr>
        <w:spacing w:after="0" w:line="240" w:lineRule="auto"/>
        <w:rPr>
          <w:rFonts w:cstheme="minorHAnsi"/>
        </w:rPr>
      </w:pPr>
    </w:p>
    <w:p w14:paraId="68A20AF0"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§10. Deletion of Personal Data</w:t>
      </w:r>
    </w:p>
    <w:p w14:paraId="2B8A7DE5" w14:textId="77777777" w:rsidR="00AE37CC" w:rsidRPr="0009767E" w:rsidRDefault="00AE37CC" w:rsidP="00AE37CC">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bookmarkStart w:id="3" w:name="_Ref466478518"/>
      <w:bookmarkStart w:id="4" w:name="_Ref467348558"/>
      <w:r w:rsidRPr="0009767E">
        <w:rPr>
          <w:rFonts w:asciiTheme="minorHAnsi" w:eastAsia="Calibri" w:hAnsiTheme="minorHAnsi" w:cstheme="minorHAnsi"/>
          <w:color w:val="auto"/>
          <w:sz w:val="22"/>
          <w:szCs w:val="22"/>
        </w:rPr>
        <w:t xml:space="preserve">No later than within 14 (fourteen) days of the expiry or termination of the Data Processing Agreement, the Processor undertakes to: </w:t>
      </w:r>
    </w:p>
    <w:p w14:paraId="7B0C7276" w14:textId="77777777" w:rsidR="00AE37CC" w:rsidRPr="0009767E" w:rsidRDefault="00AE37CC" w:rsidP="00AE37CC">
      <w:pPr>
        <w:pStyle w:val="Akapitzlist"/>
        <w:numPr>
          <w:ilvl w:val="0"/>
          <w:numId w:val="7"/>
        </w:numPr>
        <w:spacing w:after="0" w:line="240" w:lineRule="auto"/>
        <w:ind w:left="851" w:hanging="284"/>
        <w:contextualSpacing w:val="0"/>
        <w:jc w:val="both"/>
        <w:rPr>
          <w:rFonts w:eastAsia="Calibri" w:cstheme="minorHAnsi"/>
        </w:rPr>
      </w:pPr>
      <w:r w:rsidRPr="0009767E">
        <w:rPr>
          <w:rFonts w:eastAsia="Calibri" w:cstheme="minorHAnsi"/>
        </w:rPr>
        <w:lastRenderedPageBreak/>
        <w:t xml:space="preserve">destroy all media containing Personal Data (including all copies of Personal Data, including working and archive copies) </w:t>
      </w:r>
      <w:r w:rsidRPr="0009767E">
        <w:rPr>
          <w:rFonts w:cstheme="minorHAnsi"/>
        </w:rPr>
        <w:t xml:space="preserve">in the presence of a committee, </w:t>
      </w:r>
      <w:r w:rsidRPr="0009767E">
        <w:rPr>
          <w:rFonts w:eastAsia="Calibri" w:cstheme="minorHAnsi"/>
        </w:rPr>
        <w:t xml:space="preserve">or </w:t>
      </w:r>
    </w:p>
    <w:p w14:paraId="27900285" w14:textId="77777777" w:rsidR="00AE37CC" w:rsidRPr="0009767E" w:rsidRDefault="00AE37CC" w:rsidP="00AE37CC">
      <w:pPr>
        <w:pStyle w:val="Akapitzlist"/>
        <w:numPr>
          <w:ilvl w:val="0"/>
          <w:numId w:val="7"/>
        </w:numPr>
        <w:spacing w:after="0" w:line="240" w:lineRule="auto"/>
        <w:ind w:left="851" w:hanging="284"/>
        <w:contextualSpacing w:val="0"/>
        <w:jc w:val="both"/>
        <w:rPr>
          <w:rFonts w:eastAsia="Calibri" w:cstheme="minorHAnsi"/>
        </w:rPr>
      </w:pPr>
      <w:r w:rsidRPr="0009767E">
        <w:rPr>
          <w:rFonts w:eastAsia="Calibri" w:cstheme="minorHAnsi"/>
        </w:rPr>
        <w:t>return the aforementioned media containing Personal Data to the Data Controller;</w:t>
      </w:r>
    </w:p>
    <w:p w14:paraId="5ABD6049" w14:textId="77777777" w:rsidR="00AE37CC" w:rsidRPr="0009767E" w:rsidRDefault="00AE37CC" w:rsidP="00AE37CC">
      <w:pPr>
        <w:spacing w:after="0" w:line="240" w:lineRule="auto"/>
        <w:ind w:left="567"/>
        <w:jc w:val="both"/>
        <w:rPr>
          <w:rFonts w:eastAsia="Calibri" w:cstheme="minorHAnsi"/>
        </w:rPr>
      </w:pPr>
      <w:r w:rsidRPr="0009767E">
        <w:rPr>
          <w:rFonts w:eastAsia="Calibri" w:cstheme="minorHAnsi"/>
        </w:rPr>
        <w:t>- depending on the Data Controller’s request, submitted to the Processor by email to the address:</w:t>
      </w:r>
      <w:r w:rsidRPr="0009767E">
        <w:rPr>
          <w:rFonts w:eastAsia="Calibri" w:cstheme="minorHAnsi"/>
          <w:highlight w:val="yellow"/>
        </w:rPr>
        <w:t xml:space="preserve"> ……………………… </w:t>
      </w:r>
      <w:r w:rsidRPr="0009767E">
        <w:rPr>
          <w:rFonts w:eastAsia="Calibri" w:cstheme="minorHAnsi"/>
        </w:rPr>
        <w:t xml:space="preserve">subject to paragraph 2. </w:t>
      </w:r>
    </w:p>
    <w:p w14:paraId="2E23C4A9" w14:textId="77777777" w:rsidR="00AE37CC" w:rsidRPr="0009767E" w:rsidRDefault="00AE37CC" w:rsidP="00AE37CC">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r w:rsidRPr="0009767E">
        <w:rPr>
          <w:rFonts w:asciiTheme="minorHAnsi" w:eastAsia="Calibri" w:hAnsiTheme="minorHAnsi" w:cstheme="minorHAnsi"/>
          <w:color w:val="auto"/>
          <w:sz w:val="22"/>
          <w:szCs w:val="22"/>
        </w:rPr>
        <w:t xml:space="preserve">For the avoidance of doubt, the Parties hereby agree that in the case of Personal Data stored in IT infrastructure, such as servers, computers, mass storage media or other computer equipment, the Data Controller is not entitled to demand the handover of the elements of the IT infrastructure referred to above in which the Personal Data has been stored. Personal Data stored in the IT infrastructure shall </w:t>
      </w:r>
      <w:r w:rsidRPr="0009767E">
        <w:rPr>
          <w:rFonts w:asciiTheme="minorHAnsi" w:eastAsia="Calibri" w:hAnsiTheme="minorHAnsi" w:cstheme="minorHAnsi"/>
          <w:color w:val="auto"/>
          <w:sz w:val="22"/>
          <w:szCs w:val="22"/>
        </w:rPr>
        <w:br/>
        <w:t>in such a case permanently destroyed (deleted) by the Processor, without the possibility of their recovery (restoration) in any way.</w:t>
      </w:r>
      <w:bookmarkEnd w:id="3"/>
      <w:bookmarkEnd w:id="4"/>
    </w:p>
    <w:p w14:paraId="2D3C4FB4" w14:textId="77777777" w:rsidR="00AE37CC" w:rsidRPr="0009767E" w:rsidRDefault="00AE37CC" w:rsidP="00AE37CC">
      <w:pPr>
        <w:spacing w:after="0" w:line="240" w:lineRule="auto"/>
        <w:rPr>
          <w:rFonts w:cstheme="minorHAnsi"/>
        </w:rPr>
      </w:pPr>
    </w:p>
    <w:p w14:paraId="7DCA6ABA"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§11. Term</w:t>
      </w:r>
    </w:p>
    <w:p w14:paraId="596D6691" w14:textId="77777777" w:rsidR="00AE37CC" w:rsidRPr="0009767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Data Processing Agreement is concluded for the duration of the Contract. For the avoidance of doubt, the Parties confirm that the Data Processing Agreement shall expire upon the termination of the Contract, regardless of the cause.</w:t>
      </w:r>
    </w:p>
    <w:p w14:paraId="5504B266" w14:textId="77777777" w:rsidR="00AE37CC" w:rsidRPr="0009767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 xml:space="preserve">The Data Processing Agreement may be terminated by the Data Controller with immediate effect in the event of valid reasons, which the Parties understand to include, </w:t>
      </w:r>
      <w:r w:rsidRPr="0009767E">
        <w:rPr>
          <w:rFonts w:asciiTheme="minorHAnsi" w:hAnsiTheme="minorHAnsi" w:cstheme="minorHAnsi"/>
          <w:color w:val="auto"/>
          <w:sz w:val="22"/>
          <w:szCs w:val="22"/>
        </w:rPr>
        <w:br/>
        <w:t xml:space="preserve">in particular: </w:t>
      </w:r>
    </w:p>
    <w:p w14:paraId="303CD836" w14:textId="77777777" w:rsidR="00AE37CC" w:rsidRPr="0009767E" w:rsidRDefault="00AE37CC" w:rsidP="00AE37CC">
      <w:pPr>
        <w:pStyle w:val="Akapitzlist"/>
        <w:numPr>
          <w:ilvl w:val="0"/>
          <w:numId w:val="8"/>
        </w:numPr>
        <w:spacing w:after="0" w:line="240" w:lineRule="auto"/>
        <w:ind w:left="851"/>
        <w:contextualSpacing w:val="0"/>
        <w:jc w:val="both"/>
        <w:rPr>
          <w:rFonts w:cstheme="minorHAnsi"/>
        </w:rPr>
      </w:pPr>
      <w:r w:rsidRPr="0009767E">
        <w:rPr>
          <w:rFonts w:cstheme="minorHAnsi"/>
        </w:rPr>
        <w:t>a breach by the Processor of any provision of the Data Processing Agreement;</w:t>
      </w:r>
    </w:p>
    <w:p w14:paraId="293F4B56" w14:textId="097DFC51" w:rsidR="00AE37CC" w:rsidRPr="0009767E" w:rsidRDefault="6BD06B0F" w:rsidP="6BD06B0F">
      <w:pPr>
        <w:pStyle w:val="Akapitzlist"/>
        <w:numPr>
          <w:ilvl w:val="0"/>
          <w:numId w:val="8"/>
        </w:numPr>
        <w:spacing w:after="0" w:line="240" w:lineRule="auto"/>
        <w:ind w:left="851"/>
        <w:jc w:val="both"/>
      </w:pPr>
      <w:r w:rsidRPr="0009767E">
        <w:t>a breach by the Processor or a Sub-processor of the provisions governing the protection of personal data, in particular those listed in § 3(2) of the Data Processing Agreement;</w:t>
      </w:r>
    </w:p>
    <w:p w14:paraId="7C39F329" w14:textId="77777777" w:rsidR="00AE37CC" w:rsidRPr="0009767E" w:rsidRDefault="00AE37CC" w:rsidP="00AE37CC">
      <w:pPr>
        <w:pStyle w:val="Akapitzlist"/>
        <w:numPr>
          <w:ilvl w:val="0"/>
          <w:numId w:val="8"/>
        </w:numPr>
        <w:spacing w:after="0" w:line="240" w:lineRule="auto"/>
        <w:ind w:left="851"/>
        <w:contextualSpacing w:val="0"/>
        <w:jc w:val="both"/>
        <w:rPr>
          <w:rFonts w:cstheme="minorHAnsi"/>
        </w:rPr>
      </w:pPr>
      <w:r w:rsidRPr="0009767E">
        <w:rPr>
          <w:rFonts w:cstheme="minorHAnsi"/>
        </w:rPr>
        <w:t>failure to comply with the Data Controller’s guidelines or comments addressed to the Processor pursuant to § 5(2), § 6(5) and § 8(5) of the Data Processing Agreement.</w:t>
      </w:r>
    </w:p>
    <w:p w14:paraId="563272B1" w14:textId="77777777" w:rsidR="00AE37CC" w:rsidRPr="0009767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Parties hereby confirm that termination of the Data Processing Agreement by the Data Controller constitutes valid grounds entitling the Data Controller to terminate the Agreement with immediate effect. The Processor shall have no claims against the Data Controller in connection with the termination of the Data Processing Agreement and the Agreement.</w:t>
      </w:r>
    </w:p>
    <w:p w14:paraId="6866C172" w14:textId="77777777" w:rsidR="00AE37CC" w:rsidRPr="0009767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 xml:space="preserve">If the Processor entrusts the processing of Personal Data to a Sub-processor, it undertakes to conclude an agreement between itself and the Sub-processor such that termination of the Data Processing Agreement shall result in the simultaneous termination of the agreement concluded by the Processor </w:t>
      </w:r>
      <w:r w:rsidRPr="0009767E">
        <w:rPr>
          <w:rFonts w:asciiTheme="minorHAnsi" w:hAnsiTheme="minorHAnsi" w:cstheme="minorHAnsi"/>
          <w:color w:val="auto"/>
          <w:sz w:val="22"/>
          <w:szCs w:val="22"/>
        </w:rPr>
        <w:br/>
        <w:t>with the Sub-processor.</w:t>
      </w:r>
    </w:p>
    <w:p w14:paraId="491827C0" w14:textId="77777777" w:rsidR="00AE37CC" w:rsidRPr="0009767E" w:rsidRDefault="00AE37CC" w:rsidP="00AE37CC">
      <w:pPr>
        <w:spacing w:after="0" w:line="240" w:lineRule="auto"/>
        <w:rPr>
          <w:rFonts w:cstheme="minorHAnsi"/>
        </w:rPr>
      </w:pPr>
    </w:p>
    <w:p w14:paraId="3EB9DBD3" w14:textId="77777777" w:rsidR="00AE37CC" w:rsidRPr="0009767E" w:rsidRDefault="00AE37CC" w:rsidP="00AE37CC">
      <w:pPr>
        <w:pStyle w:val="Nagwek1"/>
        <w:spacing w:before="0" w:after="0"/>
        <w:ind w:left="357" w:hanging="357"/>
        <w:jc w:val="center"/>
        <w:rPr>
          <w:rFonts w:asciiTheme="minorHAnsi" w:hAnsiTheme="minorHAnsi" w:cstheme="minorHAnsi"/>
          <w:sz w:val="22"/>
          <w:szCs w:val="22"/>
        </w:rPr>
      </w:pPr>
      <w:r w:rsidRPr="0009767E">
        <w:rPr>
          <w:rFonts w:asciiTheme="minorHAnsi" w:hAnsiTheme="minorHAnsi" w:cstheme="minorHAnsi"/>
          <w:sz w:val="22"/>
          <w:szCs w:val="22"/>
        </w:rPr>
        <w:t>§12. Final provisions</w:t>
      </w:r>
    </w:p>
    <w:p w14:paraId="7B32F6C7" w14:textId="77777777" w:rsidR="00AE37CC" w:rsidRPr="0009767E" w:rsidRDefault="00AE37CC" w:rsidP="00AE37CC">
      <w:pPr>
        <w:pStyle w:val="Nagwek2"/>
        <w:keepNext w:val="0"/>
        <w:keepLines w:val="0"/>
        <w:numPr>
          <w:ilvl w:val="0"/>
          <w:numId w:val="20"/>
        </w:numPr>
        <w:spacing w:before="0" w:line="240" w:lineRule="auto"/>
        <w:jc w:val="both"/>
        <w:rPr>
          <w:rFonts w:asciiTheme="minorHAnsi" w:eastAsia="Calibri" w:hAnsiTheme="minorHAnsi" w:cstheme="minorHAnsi"/>
          <w:color w:val="auto"/>
          <w:sz w:val="22"/>
          <w:szCs w:val="22"/>
        </w:rPr>
      </w:pPr>
      <w:r w:rsidRPr="0009767E">
        <w:rPr>
          <w:rFonts w:asciiTheme="minorHAnsi" w:hAnsiTheme="minorHAnsi" w:cstheme="minorHAnsi"/>
          <w:color w:val="auto"/>
          <w:sz w:val="22"/>
          <w:szCs w:val="22"/>
        </w:rPr>
        <w:t>The Data Processing Agreement shall enter into force on the date of its signing by the Parties.</w:t>
      </w:r>
    </w:p>
    <w:p w14:paraId="6D323B48" w14:textId="77777777" w:rsidR="00AE37CC" w:rsidRPr="0009767E"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09767E">
        <w:rPr>
          <w:rFonts w:asciiTheme="minorHAnsi" w:eastAsia="SimSun" w:hAnsiTheme="minorHAnsi" w:cstheme="minorHAnsi"/>
          <w:color w:val="auto"/>
          <w:sz w:val="22"/>
          <w:szCs w:val="22"/>
          <w:lang w:eastAsia="zh-CN"/>
        </w:rPr>
        <w:t xml:space="preserve">The Processor </w:t>
      </w:r>
      <w:r w:rsidRPr="0009767E">
        <w:rPr>
          <w:rFonts w:asciiTheme="minorHAnsi" w:hAnsiTheme="minorHAnsi" w:cstheme="minorHAnsi"/>
          <w:color w:val="auto"/>
          <w:sz w:val="22"/>
          <w:szCs w:val="22"/>
        </w:rPr>
        <w:t>may</w:t>
      </w:r>
      <w:r w:rsidRPr="0009767E">
        <w:rPr>
          <w:rFonts w:asciiTheme="minorHAnsi" w:eastAsia="SimSun" w:hAnsiTheme="minorHAnsi" w:cstheme="minorHAnsi"/>
          <w:color w:val="auto"/>
          <w:sz w:val="22"/>
          <w:szCs w:val="22"/>
          <w:lang w:eastAsia="zh-CN"/>
        </w:rPr>
        <w:t xml:space="preserve"> not </w:t>
      </w:r>
      <w:r w:rsidRPr="0009767E">
        <w:rPr>
          <w:rFonts w:asciiTheme="minorHAnsi" w:hAnsiTheme="minorHAnsi" w:cstheme="minorHAnsi"/>
          <w:color w:val="auto"/>
          <w:sz w:val="22"/>
          <w:szCs w:val="22"/>
        </w:rPr>
        <w:t>transfer the rights or obligations arising from the Data Processing Agreement to any entity without the prior written consent of the Data Controller, which must be in writing to be valid.</w:t>
      </w:r>
    </w:p>
    <w:p w14:paraId="3B193743" w14:textId="77777777" w:rsidR="00AE37CC" w:rsidRPr="0009767E"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Polish law shall apply to the Data Processing Agreement.</w:t>
      </w:r>
    </w:p>
    <w:p w14:paraId="5169D3CA" w14:textId="77777777" w:rsidR="00AE37CC" w:rsidRPr="0009767E"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Any amendments or additions to the Data Processing Agreement must be made in writing, otherwise they shall be null and void.</w:t>
      </w:r>
    </w:p>
    <w:p w14:paraId="63EECD0A" w14:textId="77777777" w:rsidR="00AE37CC" w:rsidRPr="0009767E"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09767E">
        <w:rPr>
          <w:rFonts w:asciiTheme="minorHAnsi" w:hAnsiTheme="minorHAnsi" w:cstheme="minorHAnsi"/>
          <w:color w:val="auto"/>
          <w:sz w:val="22"/>
          <w:szCs w:val="22"/>
        </w:rPr>
        <w:t>The court having jurisdiction to settle disputes arising in connection with the performance of the Data Processing Agreement shall be the court having jurisdiction over the Data Controller’s registered office.</w:t>
      </w:r>
    </w:p>
    <w:p w14:paraId="5B3CDE9C" w14:textId="77777777" w:rsidR="00AE37CC" w:rsidRPr="0009767E" w:rsidRDefault="00AE37CC" w:rsidP="00AE37CC">
      <w:pPr>
        <w:pStyle w:val="Akapitzlist"/>
        <w:numPr>
          <w:ilvl w:val="0"/>
          <w:numId w:val="20"/>
        </w:numPr>
        <w:tabs>
          <w:tab w:val="left" w:pos="284"/>
        </w:tabs>
        <w:spacing w:after="0" w:line="240" w:lineRule="auto"/>
        <w:jc w:val="both"/>
        <w:rPr>
          <w:rFonts w:cstheme="minorHAnsi"/>
        </w:rPr>
      </w:pPr>
      <w:r w:rsidRPr="0009767E">
        <w:rPr>
          <w:rFonts w:cstheme="minorHAnsi"/>
        </w:rPr>
        <w:t xml:space="preserve">The Agreement shall be drawn up in two identical copies, one for each Party </w:t>
      </w:r>
      <w:r w:rsidRPr="0009767E">
        <w:rPr>
          <w:rFonts w:cstheme="minorHAnsi"/>
        </w:rPr>
        <w:br/>
        <w:t>where the Agreement is drawn up in writing or where the Agreement is drawn up in electronic form , the Agreement shall be affixed with a qualified electronic signature by each Party.</w:t>
      </w:r>
    </w:p>
    <w:p w14:paraId="4934E8AE" w14:textId="336DEFFB" w:rsidR="00AE37CC" w:rsidRPr="0009767E" w:rsidRDefault="6BD06B0F" w:rsidP="00AE37CC">
      <w:pPr>
        <w:pStyle w:val="Akapitzlist"/>
        <w:numPr>
          <w:ilvl w:val="0"/>
          <w:numId w:val="20"/>
        </w:numPr>
        <w:spacing w:after="0" w:line="240" w:lineRule="auto"/>
        <w:jc w:val="both"/>
        <w:rPr>
          <w:rFonts w:cs="Times New Roman"/>
        </w:rPr>
      </w:pPr>
      <w:r w:rsidRPr="0009767E">
        <w:lastRenderedPageBreak/>
        <w:t>Where the Agreement is concluded in electronic form, the date of conclusion of the Agreement shall be deemed to be the date on which the Agreement is signed by the last of the Parties (the date on which the last person signing the Agreement on behalf of the Party affixes their signature).</w:t>
      </w:r>
    </w:p>
    <w:p w14:paraId="0DCF252B" w14:textId="77777777" w:rsidR="00AE37CC" w:rsidRPr="0009767E" w:rsidRDefault="00AE37CC" w:rsidP="00AE37CC">
      <w:pPr>
        <w:spacing w:after="0" w:line="240" w:lineRule="auto"/>
        <w:rPr>
          <w:rFonts w:cstheme="minorHAnsi"/>
        </w:rPr>
      </w:pPr>
    </w:p>
    <w:p w14:paraId="5ED1A0CF" w14:textId="77777777" w:rsidR="00AE37CC" w:rsidRPr="0009767E" w:rsidRDefault="00AE37CC" w:rsidP="00AE37CC">
      <w:pPr>
        <w:spacing w:after="0" w:line="240" w:lineRule="auto"/>
        <w:rPr>
          <w:rFonts w:cstheme="minorHAnsi"/>
        </w:rPr>
      </w:pPr>
    </w:p>
    <w:p w14:paraId="2B131C43" w14:textId="77777777" w:rsidR="00AE37CC" w:rsidRPr="0009767E" w:rsidRDefault="00AE37CC" w:rsidP="00AE37CC">
      <w:pPr>
        <w:spacing w:after="0" w:line="240" w:lineRule="auto"/>
        <w:rPr>
          <w:rFonts w:cstheme="minorHAnsi"/>
        </w:rPr>
      </w:pP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51"/>
        <w:gridCol w:w="3969"/>
      </w:tblGrid>
      <w:tr w:rsidR="00AE37CC" w:rsidRPr="0009767E" w14:paraId="5EBBA5C5" w14:textId="77777777" w:rsidTr="00710F48">
        <w:tc>
          <w:tcPr>
            <w:tcW w:w="3969" w:type="dxa"/>
            <w:tcBorders>
              <w:bottom w:val="single" w:sz="4" w:space="0" w:color="auto"/>
            </w:tcBorders>
          </w:tcPr>
          <w:p w14:paraId="173001DF" w14:textId="77777777" w:rsidR="00AE37CC" w:rsidRPr="0009767E" w:rsidRDefault="00AE37CC" w:rsidP="00710F48">
            <w:pPr>
              <w:spacing w:after="0" w:line="240" w:lineRule="auto"/>
              <w:rPr>
                <w:rFonts w:cstheme="minorHAnsi"/>
              </w:rPr>
            </w:pPr>
          </w:p>
        </w:tc>
        <w:tc>
          <w:tcPr>
            <w:tcW w:w="1951" w:type="dxa"/>
          </w:tcPr>
          <w:p w14:paraId="27C47F16" w14:textId="77777777" w:rsidR="00AE37CC" w:rsidRPr="0009767E" w:rsidRDefault="00AE37CC" w:rsidP="00710F48">
            <w:pPr>
              <w:spacing w:after="0" w:line="240" w:lineRule="auto"/>
              <w:rPr>
                <w:rFonts w:cstheme="minorHAnsi"/>
              </w:rPr>
            </w:pPr>
          </w:p>
        </w:tc>
        <w:tc>
          <w:tcPr>
            <w:tcW w:w="3969" w:type="dxa"/>
            <w:tcBorders>
              <w:bottom w:val="single" w:sz="4" w:space="0" w:color="auto"/>
            </w:tcBorders>
          </w:tcPr>
          <w:p w14:paraId="384C35E0" w14:textId="77777777" w:rsidR="00AE37CC" w:rsidRPr="0009767E" w:rsidRDefault="00AE37CC" w:rsidP="00710F48">
            <w:pPr>
              <w:spacing w:after="0" w:line="240" w:lineRule="auto"/>
              <w:rPr>
                <w:rFonts w:cstheme="minorHAnsi"/>
              </w:rPr>
            </w:pPr>
          </w:p>
        </w:tc>
      </w:tr>
      <w:tr w:rsidR="00AE37CC" w:rsidRPr="0009767E" w14:paraId="0A2DAEDF" w14:textId="77777777" w:rsidTr="00710F48">
        <w:tc>
          <w:tcPr>
            <w:tcW w:w="3969" w:type="dxa"/>
            <w:tcBorders>
              <w:top w:val="single" w:sz="4" w:space="0" w:color="auto"/>
            </w:tcBorders>
          </w:tcPr>
          <w:p w14:paraId="5FD356C6" w14:textId="77777777" w:rsidR="00AE37CC" w:rsidRPr="0009767E" w:rsidRDefault="00AE37CC" w:rsidP="00710F48">
            <w:pPr>
              <w:spacing w:after="0" w:line="240" w:lineRule="auto"/>
              <w:jc w:val="center"/>
              <w:rPr>
                <w:rFonts w:cstheme="minorHAnsi"/>
              </w:rPr>
            </w:pPr>
            <w:r w:rsidRPr="0009767E">
              <w:rPr>
                <w:rFonts w:cstheme="minorHAnsi"/>
                <w:b/>
              </w:rPr>
              <w:t>Data Controller</w:t>
            </w:r>
          </w:p>
        </w:tc>
        <w:tc>
          <w:tcPr>
            <w:tcW w:w="1951" w:type="dxa"/>
          </w:tcPr>
          <w:p w14:paraId="49B4CC76" w14:textId="77777777" w:rsidR="00AE37CC" w:rsidRPr="0009767E" w:rsidRDefault="00AE37CC" w:rsidP="00710F48">
            <w:pPr>
              <w:spacing w:after="0" w:line="240" w:lineRule="auto"/>
              <w:rPr>
                <w:rFonts w:cstheme="minorHAnsi"/>
              </w:rPr>
            </w:pPr>
          </w:p>
        </w:tc>
        <w:tc>
          <w:tcPr>
            <w:tcW w:w="3969" w:type="dxa"/>
            <w:tcBorders>
              <w:top w:val="single" w:sz="4" w:space="0" w:color="auto"/>
            </w:tcBorders>
          </w:tcPr>
          <w:p w14:paraId="38149F3D" w14:textId="77777777" w:rsidR="00AE37CC" w:rsidRPr="0009767E" w:rsidRDefault="00AE37CC" w:rsidP="00710F48">
            <w:pPr>
              <w:spacing w:after="0" w:line="240" w:lineRule="auto"/>
              <w:jc w:val="center"/>
              <w:rPr>
                <w:rFonts w:cstheme="minorHAnsi"/>
              </w:rPr>
            </w:pPr>
            <w:r w:rsidRPr="0009767E">
              <w:rPr>
                <w:rFonts w:cstheme="minorHAnsi"/>
                <w:b/>
              </w:rPr>
              <w:t>Processor</w:t>
            </w:r>
          </w:p>
        </w:tc>
      </w:tr>
    </w:tbl>
    <w:p w14:paraId="159A4DF9" w14:textId="77777777" w:rsidR="00AE37CC" w:rsidRPr="0009767E" w:rsidRDefault="00AE37CC" w:rsidP="00AE37CC">
      <w:pPr>
        <w:spacing w:after="0" w:line="240" w:lineRule="auto"/>
        <w:rPr>
          <w:rFonts w:cstheme="minorHAnsi"/>
        </w:rPr>
      </w:pPr>
    </w:p>
    <w:p w14:paraId="5BADFC55" w14:textId="77777777" w:rsidR="00AE37CC" w:rsidRPr="0009767E" w:rsidRDefault="00AE37CC" w:rsidP="00AE37CC">
      <w:pPr>
        <w:spacing w:after="0" w:line="240" w:lineRule="auto"/>
        <w:rPr>
          <w:rFonts w:cstheme="minorHAnsi"/>
        </w:rPr>
      </w:pPr>
    </w:p>
    <w:p w14:paraId="3CB62F88" w14:textId="77777777" w:rsidR="00AE37CC" w:rsidRPr="0009767E" w:rsidRDefault="00AE37CC" w:rsidP="00AE37CC">
      <w:pPr>
        <w:spacing w:after="0" w:line="240" w:lineRule="auto"/>
        <w:rPr>
          <w:rFonts w:cstheme="minorHAnsi"/>
        </w:rPr>
      </w:pPr>
    </w:p>
    <w:p w14:paraId="344A4867" w14:textId="77777777" w:rsidR="00AE37CC" w:rsidRPr="0009767E" w:rsidRDefault="00AE37CC" w:rsidP="00AE37CC">
      <w:pPr>
        <w:spacing w:after="0" w:line="240" w:lineRule="auto"/>
        <w:rPr>
          <w:rFonts w:cstheme="minorHAnsi"/>
          <w:b/>
        </w:rPr>
      </w:pPr>
    </w:p>
    <w:p w14:paraId="2C4F9FE7" w14:textId="416A27A2" w:rsidR="00587998" w:rsidRPr="00AE37CC" w:rsidRDefault="00587998" w:rsidP="00AE37CC"/>
    <w:sectPr w:rsidR="00587998" w:rsidRPr="00AE37CC" w:rsidSect="00F94942">
      <w:headerReference w:type="default" r:id="rId12"/>
      <w:footerReference w:type="default" r:id="rId13"/>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1980" w14:textId="77777777" w:rsidR="001B2022" w:rsidRPr="0009767E" w:rsidRDefault="001B2022">
      <w:pPr>
        <w:spacing w:after="0" w:line="240" w:lineRule="auto"/>
      </w:pPr>
      <w:r w:rsidRPr="0009767E">
        <w:separator/>
      </w:r>
    </w:p>
  </w:endnote>
  <w:endnote w:type="continuationSeparator" w:id="0">
    <w:p w14:paraId="7686271F" w14:textId="77777777" w:rsidR="001B2022" w:rsidRPr="0009767E" w:rsidRDefault="001B2022">
      <w:pPr>
        <w:spacing w:after="0" w:line="240" w:lineRule="auto"/>
      </w:pPr>
      <w:r w:rsidRPr="00097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52186"/>
      <w:docPartObj>
        <w:docPartGallery w:val="Page Numbers (Bottom of Page)"/>
        <w:docPartUnique/>
      </w:docPartObj>
    </w:sdtPr>
    <w:sdtEndPr/>
    <w:sdtContent>
      <w:sdt>
        <w:sdtPr>
          <w:id w:val="-1769616900"/>
          <w:docPartObj>
            <w:docPartGallery w:val="Page Numbers (Top of Page)"/>
            <w:docPartUnique/>
          </w:docPartObj>
        </w:sdtPr>
        <w:sdtEndPr/>
        <w:sdtContent>
          <w:p w14:paraId="1C9FA619" w14:textId="13FEC278" w:rsidR="00550BD7" w:rsidRPr="0009767E" w:rsidRDefault="00641377" w:rsidP="000A2ED8">
            <w:pPr>
              <w:pStyle w:val="Stopka"/>
              <w:jc w:val="right"/>
            </w:pPr>
            <w:r w:rsidRPr="0009767E">
              <w:rPr>
                <w:noProof/>
              </w:rPr>
              <w:drawing>
                <wp:inline distT="0" distB="0" distL="0" distR="0" wp14:anchorId="12C55F5B" wp14:editId="68C956BE">
                  <wp:extent cx="5761355" cy="530225"/>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r w:rsidR="0009767E" w:rsidRPr="0009767E">
              <w:rPr>
                <w:b/>
                <w:bCs/>
                <w:sz w:val="24"/>
                <w:szCs w:val="24"/>
              </w:rPr>
              <w:t xml:space="preserve"> </w:t>
            </w:r>
            <w:r w:rsidR="000A2ED8" w:rsidRPr="0009767E">
              <w:rPr>
                <w:b/>
                <w:bCs/>
                <w:sz w:val="24"/>
                <w:szCs w:val="24"/>
              </w:rPr>
              <w:fldChar w:fldCharType="begin"/>
            </w:r>
            <w:r w:rsidR="000A2ED8" w:rsidRPr="0009767E">
              <w:rPr>
                <w:b/>
                <w:bCs/>
              </w:rPr>
              <w:instrText>PAGE</w:instrText>
            </w:r>
            <w:r w:rsidR="000A2ED8" w:rsidRPr="0009767E">
              <w:rPr>
                <w:b/>
                <w:bCs/>
                <w:sz w:val="24"/>
                <w:szCs w:val="24"/>
              </w:rPr>
              <w:fldChar w:fldCharType="separate"/>
            </w:r>
            <w:r w:rsidR="0095581B" w:rsidRPr="0009767E">
              <w:rPr>
                <w:b/>
                <w:bCs/>
                <w:noProof/>
              </w:rPr>
              <w:t>3</w:t>
            </w:r>
            <w:r w:rsidR="000A2ED8" w:rsidRPr="0009767E">
              <w:rPr>
                <w:b/>
                <w:bCs/>
                <w:sz w:val="24"/>
                <w:szCs w:val="24"/>
              </w:rPr>
              <w:fldChar w:fldCharType="end"/>
            </w:r>
            <w:r w:rsidR="000A2ED8" w:rsidRPr="0009767E">
              <w:t xml:space="preserve"> </w:t>
            </w:r>
            <w:r w:rsidR="0009767E">
              <w:t>/</w:t>
            </w:r>
            <w:r w:rsidR="000A2ED8" w:rsidRPr="0009767E">
              <w:t xml:space="preserve"> </w:t>
            </w:r>
            <w:r w:rsidR="000A2ED8" w:rsidRPr="0009767E">
              <w:rPr>
                <w:b/>
                <w:bCs/>
                <w:sz w:val="24"/>
                <w:szCs w:val="24"/>
              </w:rPr>
              <w:fldChar w:fldCharType="begin"/>
            </w:r>
            <w:r w:rsidR="000A2ED8" w:rsidRPr="0009767E">
              <w:rPr>
                <w:b/>
                <w:bCs/>
              </w:rPr>
              <w:instrText>NUMPAGES</w:instrText>
            </w:r>
            <w:r w:rsidR="000A2ED8" w:rsidRPr="0009767E">
              <w:rPr>
                <w:b/>
                <w:bCs/>
                <w:sz w:val="24"/>
                <w:szCs w:val="24"/>
              </w:rPr>
              <w:fldChar w:fldCharType="separate"/>
            </w:r>
            <w:r w:rsidR="0095581B" w:rsidRPr="0009767E">
              <w:rPr>
                <w:b/>
                <w:bCs/>
                <w:noProof/>
              </w:rPr>
              <w:t>8</w:t>
            </w:r>
            <w:r w:rsidR="000A2ED8" w:rsidRPr="0009767E">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D90E" w14:textId="77777777" w:rsidR="001B2022" w:rsidRPr="0009767E" w:rsidRDefault="001B2022">
      <w:pPr>
        <w:spacing w:after="0" w:line="240" w:lineRule="auto"/>
      </w:pPr>
      <w:r w:rsidRPr="0009767E">
        <w:separator/>
      </w:r>
    </w:p>
  </w:footnote>
  <w:footnote w:type="continuationSeparator" w:id="0">
    <w:p w14:paraId="551DE897" w14:textId="77777777" w:rsidR="001B2022" w:rsidRPr="0009767E" w:rsidRDefault="001B2022">
      <w:pPr>
        <w:spacing w:after="0" w:line="240" w:lineRule="auto"/>
      </w:pPr>
      <w:r w:rsidRPr="00097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9AD9" w14:textId="77777777" w:rsidR="009B631B" w:rsidRPr="0009767E" w:rsidRDefault="009B631B" w:rsidP="009B631B">
    <w:pPr>
      <w:pStyle w:val="Nagwek"/>
      <w:tabs>
        <w:tab w:val="left" w:pos="6330"/>
      </w:tabs>
      <w:jc w:val="center"/>
      <w:rPr>
        <w:rFonts w:asciiTheme="majorHAnsi" w:hAnsiTheme="majorHAnsi" w:cstheme="majorHAnsi"/>
        <w:i/>
      </w:rPr>
    </w:pPr>
  </w:p>
  <w:p w14:paraId="78BF3184" w14:textId="1D2196F9" w:rsidR="009B631B" w:rsidRPr="0009767E" w:rsidRDefault="22661F80" w:rsidP="22661F80">
    <w:pPr>
      <w:pStyle w:val="Nagwek"/>
      <w:tabs>
        <w:tab w:val="left" w:pos="6330"/>
      </w:tabs>
      <w:jc w:val="center"/>
    </w:pPr>
    <w:r w:rsidRPr="22661F80">
      <w:t xml:space="preserve">08/FENG/2026 </w:t>
    </w:r>
    <w:r w:rsidR="001158E8">
      <w:tab/>
    </w:r>
    <w:r w:rsidR="001158E8">
      <w:tab/>
    </w:r>
    <w:r w:rsidRPr="22661F80">
      <w:t xml:space="preserve">                            </w:t>
    </w:r>
    <w:r w:rsidRPr="22661F80">
      <w:rPr>
        <w:rFonts w:ascii="Calibri" w:eastAsia="Calibri" w:hAnsi="Calibri" w:cs="Calibri"/>
      </w:rPr>
      <w:t xml:space="preserve">Annex </w:t>
    </w:r>
    <w:r w:rsidRPr="22661F80">
      <w:t>7</w:t>
    </w:r>
  </w:p>
  <w:p w14:paraId="66A3BAA5" w14:textId="77777777" w:rsidR="003B7FD4" w:rsidRPr="0009767E" w:rsidRDefault="003B7F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 w15:restartNumberingAfterBreak="0">
    <w:nsid w:val="062909EF"/>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 w15:restartNumberingAfterBreak="0">
    <w:nsid w:val="0D5F334E"/>
    <w:multiLevelType w:val="hybridMultilevel"/>
    <w:tmpl w:val="D4B01A5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23FD4DC5"/>
    <w:multiLevelType w:val="hybridMultilevel"/>
    <w:tmpl w:val="6542EBA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3"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27B5952"/>
    <w:multiLevelType w:val="hybridMultilevel"/>
    <w:tmpl w:val="A9F473B6"/>
    <w:lvl w:ilvl="0" w:tplc="72FEFC2E">
      <w:start w:val="1"/>
      <w:numFmt w:val="decimal"/>
      <w:lvlText w:val="[%1]"/>
      <w:lvlJc w:val="left"/>
      <w:pPr>
        <w:ind w:left="360" w:hanging="360"/>
      </w:pPr>
      <w:rPr>
        <w:rFonts w:ascii="Times New Roman" w:hAnsi="Times New Roman" w:cs="Times New Roman" w:hint="default"/>
        <w:b w:val="0"/>
        <w:sz w:val="24"/>
        <w:szCs w:val="24"/>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68832A9C"/>
    <w:multiLevelType w:val="hybridMultilevel"/>
    <w:tmpl w:val="19F4115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1339E4"/>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7A3E7CFB"/>
    <w:multiLevelType w:val="hybridMultilevel"/>
    <w:tmpl w:val="EBB069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388457030">
    <w:abstractNumId w:val="6"/>
  </w:num>
  <w:num w:numId="2" w16cid:durableId="1853957948">
    <w:abstractNumId w:val="19"/>
  </w:num>
  <w:num w:numId="3" w16cid:durableId="779375933">
    <w:abstractNumId w:val="13"/>
  </w:num>
  <w:num w:numId="4" w16cid:durableId="478814510">
    <w:abstractNumId w:val="18"/>
  </w:num>
  <w:num w:numId="5" w16cid:durableId="396251007">
    <w:abstractNumId w:val="21"/>
  </w:num>
  <w:num w:numId="6" w16cid:durableId="587422102">
    <w:abstractNumId w:val="0"/>
  </w:num>
  <w:num w:numId="7" w16cid:durableId="761800624">
    <w:abstractNumId w:val="10"/>
  </w:num>
  <w:num w:numId="8" w16cid:durableId="457601529">
    <w:abstractNumId w:val="3"/>
  </w:num>
  <w:num w:numId="9" w16cid:durableId="74938393">
    <w:abstractNumId w:val="22"/>
  </w:num>
  <w:num w:numId="10" w16cid:durableId="11499629">
    <w:abstractNumId w:val="4"/>
  </w:num>
  <w:num w:numId="11" w16cid:durableId="1832982485">
    <w:abstractNumId w:val="11"/>
  </w:num>
  <w:num w:numId="12" w16cid:durableId="810245873">
    <w:abstractNumId w:val="5"/>
  </w:num>
  <w:num w:numId="13" w16cid:durableId="1571307303">
    <w:abstractNumId w:val="15"/>
  </w:num>
  <w:num w:numId="14" w16cid:durableId="554973422">
    <w:abstractNumId w:val="14"/>
  </w:num>
  <w:num w:numId="15" w16cid:durableId="572666763">
    <w:abstractNumId w:val="2"/>
  </w:num>
  <w:num w:numId="16" w16cid:durableId="2109735509">
    <w:abstractNumId w:val="9"/>
  </w:num>
  <w:num w:numId="17" w16cid:durableId="670302976">
    <w:abstractNumId w:val="17"/>
  </w:num>
  <w:num w:numId="18" w16cid:durableId="258566477">
    <w:abstractNumId w:val="12"/>
  </w:num>
  <w:num w:numId="19" w16cid:durableId="1202099">
    <w:abstractNumId w:val="7"/>
  </w:num>
  <w:num w:numId="20" w16cid:durableId="2146044454">
    <w:abstractNumId w:val="8"/>
  </w:num>
  <w:num w:numId="21" w16cid:durableId="573509590">
    <w:abstractNumId w:val="1"/>
  </w:num>
  <w:num w:numId="22" w16cid:durableId="1313028293">
    <w:abstractNumId w:val="23"/>
  </w:num>
  <w:num w:numId="23" w16cid:durableId="1996956738">
    <w:abstractNumId w:val="20"/>
  </w:num>
  <w:num w:numId="24" w16cid:durableId="1655335622">
    <w:abstractNumId w:val="24"/>
  </w:num>
  <w:num w:numId="25" w16cid:durableId="1693456656">
    <w:abstractNumId w:val="16"/>
  </w:num>
  <w:num w:numId="26" w16cid:durableId="7063757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AE"/>
    <w:rsid w:val="00036D8D"/>
    <w:rsid w:val="00042932"/>
    <w:rsid w:val="00060C1D"/>
    <w:rsid w:val="000633DD"/>
    <w:rsid w:val="00063B2E"/>
    <w:rsid w:val="00075591"/>
    <w:rsid w:val="00092477"/>
    <w:rsid w:val="0009767E"/>
    <w:rsid w:val="000A2ED8"/>
    <w:rsid w:val="000A3AEE"/>
    <w:rsid w:val="000A6EBA"/>
    <w:rsid w:val="000B0301"/>
    <w:rsid w:val="000C5D32"/>
    <w:rsid w:val="000D0071"/>
    <w:rsid w:val="000D501D"/>
    <w:rsid w:val="000E1A17"/>
    <w:rsid w:val="000E3D37"/>
    <w:rsid w:val="00106056"/>
    <w:rsid w:val="001158E8"/>
    <w:rsid w:val="001262AD"/>
    <w:rsid w:val="00126BCF"/>
    <w:rsid w:val="001275E6"/>
    <w:rsid w:val="00132594"/>
    <w:rsid w:val="00156F24"/>
    <w:rsid w:val="001633D2"/>
    <w:rsid w:val="00172A63"/>
    <w:rsid w:val="001764F8"/>
    <w:rsid w:val="0018179A"/>
    <w:rsid w:val="001838EF"/>
    <w:rsid w:val="0018599A"/>
    <w:rsid w:val="0018685B"/>
    <w:rsid w:val="00190F78"/>
    <w:rsid w:val="0019246C"/>
    <w:rsid w:val="001A703C"/>
    <w:rsid w:val="001B2022"/>
    <w:rsid w:val="001D4BD4"/>
    <w:rsid w:val="00202A36"/>
    <w:rsid w:val="00220BFD"/>
    <w:rsid w:val="002217CD"/>
    <w:rsid w:val="00232A77"/>
    <w:rsid w:val="00241753"/>
    <w:rsid w:val="002540C4"/>
    <w:rsid w:val="00282A50"/>
    <w:rsid w:val="0028385D"/>
    <w:rsid w:val="002861EC"/>
    <w:rsid w:val="00293136"/>
    <w:rsid w:val="002972D0"/>
    <w:rsid w:val="002A7C24"/>
    <w:rsid w:val="002B4ACD"/>
    <w:rsid w:val="002B5467"/>
    <w:rsid w:val="002C5573"/>
    <w:rsid w:val="002D0B5C"/>
    <w:rsid w:val="002E238B"/>
    <w:rsid w:val="002F42AC"/>
    <w:rsid w:val="00301C0C"/>
    <w:rsid w:val="00311B74"/>
    <w:rsid w:val="00314C76"/>
    <w:rsid w:val="00341C87"/>
    <w:rsid w:val="00357E17"/>
    <w:rsid w:val="00362381"/>
    <w:rsid w:val="003716E9"/>
    <w:rsid w:val="003721DC"/>
    <w:rsid w:val="003768FF"/>
    <w:rsid w:val="00383713"/>
    <w:rsid w:val="003A173E"/>
    <w:rsid w:val="003A2ED7"/>
    <w:rsid w:val="003A386E"/>
    <w:rsid w:val="003B314A"/>
    <w:rsid w:val="003B7FD4"/>
    <w:rsid w:val="003C4316"/>
    <w:rsid w:val="003D3331"/>
    <w:rsid w:val="003E27A8"/>
    <w:rsid w:val="003E3915"/>
    <w:rsid w:val="003E48AF"/>
    <w:rsid w:val="003E75A7"/>
    <w:rsid w:val="003F0F0D"/>
    <w:rsid w:val="003F1294"/>
    <w:rsid w:val="0040196D"/>
    <w:rsid w:val="00422BCE"/>
    <w:rsid w:val="00445A5F"/>
    <w:rsid w:val="00465ACB"/>
    <w:rsid w:val="00467160"/>
    <w:rsid w:val="00480D56"/>
    <w:rsid w:val="004A5930"/>
    <w:rsid w:val="004B1F06"/>
    <w:rsid w:val="004C6786"/>
    <w:rsid w:val="004D09B3"/>
    <w:rsid w:val="004F5019"/>
    <w:rsid w:val="00507C8E"/>
    <w:rsid w:val="00510A8C"/>
    <w:rsid w:val="00541329"/>
    <w:rsid w:val="00550AF4"/>
    <w:rsid w:val="00550BD7"/>
    <w:rsid w:val="0057603A"/>
    <w:rsid w:val="00587998"/>
    <w:rsid w:val="00590B97"/>
    <w:rsid w:val="005B7F74"/>
    <w:rsid w:val="005F2145"/>
    <w:rsid w:val="005F28EA"/>
    <w:rsid w:val="00624BAC"/>
    <w:rsid w:val="00641377"/>
    <w:rsid w:val="006502A3"/>
    <w:rsid w:val="00666AE3"/>
    <w:rsid w:val="006820A8"/>
    <w:rsid w:val="00691D4C"/>
    <w:rsid w:val="00694860"/>
    <w:rsid w:val="006A3CCE"/>
    <w:rsid w:val="006B2EEE"/>
    <w:rsid w:val="006B3875"/>
    <w:rsid w:val="006D1062"/>
    <w:rsid w:val="006F674C"/>
    <w:rsid w:val="006F7685"/>
    <w:rsid w:val="00714DC9"/>
    <w:rsid w:val="00721DFE"/>
    <w:rsid w:val="007258F9"/>
    <w:rsid w:val="00733020"/>
    <w:rsid w:val="00745E41"/>
    <w:rsid w:val="00753359"/>
    <w:rsid w:val="00763266"/>
    <w:rsid w:val="007678DC"/>
    <w:rsid w:val="007705A0"/>
    <w:rsid w:val="0078331B"/>
    <w:rsid w:val="007835EA"/>
    <w:rsid w:val="00795058"/>
    <w:rsid w:val="007B249C"/>
    <w:rsid w:val="007B3336"/>
    <w:rsid w:val="007D39BB"/>
    <w:rsid w:val="007D577E"/>
    <w:rsid w:val="007E395D"/>
    <w:rsid w:val="00810BD3"/>
    <w:rsid w:val="00815506"/>
    <w:rsid w:val="00842F97"/>
    <w:rsid w:val="0084487A"/>
    <w:rsid w:val="00865A52"/>
    <w:rsid w:val="00873C2F"/>
    <w:rsid w:val="008828FB"/>
    <w:rsid w:val="00883E5C"/>
    <w:rsid w:val="008A173D"/>
    <w:rsid w:val="008A4E64"/>
    <w:rsid w:val="008A625D"/>
    <w:rsid w:val="008B7D79"/>
    <w:rsid w:val="008C6518"/>
    <w:rsid w:val="008D1C69"/>
    <w:rsid w:val="008E37D6"/>
    <w:rsid w:val="00906108"/>
    <w:rsid w:val="0093153C"/>
    <w:rsid w:val="00935BB0"/>
    <w:rsid w:val="0094009D"/>
    <w:rsid w:val="009407E6"/>
    <w:rsid w:val="0095581B"/>
    <w:rsid w:val="009A100D"/>
    <w:rsid w:val="009B631B"/>
    <w:rsid w:val="009C2824"/>
    <w:rsid w:val="009C5E50"/>
    <w:rsid w:val="009E14B9"/>
    <w:rsid w:val="009E3174"/>
    <w:rsid w:val="009E7BBB"/>
    <w:rsid w:val="00A06FAB"/>
    <w:rsid w:val="00A17E9B"/>
    <w:rsid w:val="00A51FF3"/>
    <w:rsid w:val="00A53F43"/>
    <w:rsid w:val="00A56329"/>
    <w:rsid w:val="00A6048F"/>
    <w:rsid w:val="00A74AA0"/>
    <w:rsid w:val="00A767C2"/>
    <w:rsid w:val="00A80BED"/>
    <w:rsid w:val="00A823B6"/>
    <w:rsid w:val="00A875D0"/>
    <w:rsid w:val="00AB6599"/>
    <w:rsid w:val="00AC3A00"/>
    <w:rsid w:val="00AC4CDE"/>
    <w:rsid w:val="00AC6569"/>
    <w:rsid w:val="00AE37CC"/>
    <w:rsid w:val="00B00DB5"/>
    <w:rsid w:val="00B06F69"/>
    <w:rsid w:val="00B13BED"/>
    <w:rsid w:val="00B27C9D"/>
    <w:rsid w:val="00B33540"/>
    <w:rsid w:val="00B350FC"/>
    <w:rsid w:val="00B548FE"/>
    <w:rsid w:val="00B636AE"/>
    <w:rsid w:val="00B66C94"/>
    <w:rsid w:val="00B73BCA"/>
    <w:rsid w:val="00B76E1A"/>
    <w:rsid w:val="00B91C23"/>
    <w:rsid w:val="00BA619D"/>
    <w:rsid w:val="00BB1E78"/>
    <w:rsid w:val="00BE7628"/>
    <w:rsid w:val="00BF20B9"/>
    <w:rsid w:val="00BF5D76"/>
    <w:rsid w:val="00C15C1F"/>
    <w:rsid w:val="00C32B36"/>
    <w:rsid w:val="00C348B7"/>
    <w:rsid w:val="00C60171"/>
    <w:rsid w:val="00C8511C"/>
    <w:rsid w:val="00CB5AA0"/>
    <w:rsid w:val="00CC60B7"/>
    <w:rsid w:val="00CD2884"/>
    <w:rsid w:val="00CD484F"/>
    <w:rsid w:val="00CD7531"/>
    <w:rsid w:val="00D03235"/>
    <w:rsid w:val="00D201DF"/>
    <w:rsid w:val="00D22C0A"/>
    <w:rsid w:val="00D371FF"/>
    <w:rsid w:val="00D52D45"/>
    <w:rsid w:val="00D734F9"/>
    <w:rsid w:val="00D96F0D"/>
    <w:rsid w:val="00DC48AF"/>
    <w:rsid w:val="00DE05C8"/>
    <w:rsid w:val="00DE605C"/>
    <w:rsid w:val="00E133C1"/>
    <w:rsid w:val="00E1527A"/>
    <w:rsid w:val="00E17DFD"/>
    <w:rsid w:val="00E5277B"/>
    <w:rsid w:val="00E5739A"/>
    <w:rsid w:val="00E57EB1"/>
    <w:rsid w:val="00EB39D2"/>
    <w:rsid w:val="00EB5DD8"/>
    <w:rsid w:val="00EB7202"/>
    <w:rsid w:val="00EC0C04"/>
    <w:rsid w:val="00ED6390"/>
    <w:rsid w:val="00ED7FB7"/>
    <w:rsid w:val="00EF0201"/>
    <w:rsid w:val="00EF3A20"/>
    <w:rsid w:val="00F03106"/>
    <w:rsid w:val="00F06D02"/>
    <w:rsid w:val="00F15247"/>
    <w:rsid w:val="00F215A9"/>
    <w:rsid w:val="00F53AB1"/>
    <w:rsid w:val="00F56071"/>
    <w:rsid w:val="00F56AA9"/>
    <w:rsid w:val="00F82167"/>
    <w:rsid w:val="00F87DFD"/>
    <w:rsid w:val="00F92360"/>
    <w:rsid w:val="00FA1433"/>
    <w:rsid w:val="00FA148C"/>
    <w:rsid w:val="00FB6C06"/>
    <w:rsid w:val="00FB7F18"/>
    <w:rsid w:val="039140AB"/>
    <w:rsid w:val="05E6F74B"/>
    <w:rsid w:val="077844B9"/>
    <w:rsid w:val="0A705CD6"/>
    <w:rsid w:val="0D9B7720"/>
    <w:rsid w:val="141A5F65"/>
    <w:rsid w:val="149BF53E"/>
    <w:rsid w:val="1520506F"/>
    <w:rsid w:val="1F378597"/>
    <w:rsid w:val="21316674"/>
    <w:rsid w:val="22661F80"/>
    <w:rsid w:val="27F50787"/>
    <w:rsid w:val="2C73C121"/>
    <w:rsid w:val="2FFA6ECB"/>
    <w:rsid w:val="32344004"/>
    <w:rsid w:val="3C7A024F"/>
    <w:rsid w:val="43C78BF0"/>
    <w:rsid w:val="442B8D5A"/>
    <w:rsid w:val="4F3383E4"/>
    <w:rsid w:val="4FD0D0E0"/>
    <w:rsid w:val="51CB77AE"/>
    <w:rsid w:val="53728BA8"/>
    <w:rsid w:val="54F915DE"/>
    <w:rsid w:val="55933E11"/>
    <w:rsid w:val="5668DAEA"/>
    <w:rsid w:val="57F37732"/>
    <w:rsid w:val="59B7CF7A"/>
    <w:rsid w:val="5BC3E43C"/>
    <w:rsid w:val="5BFDE4A1"/>
    <w:rsid w:val="5D77FDAA"/>
    <w:rsid w:val="5E572C4F"/>
    <w:rsid w:val="5E9D8A47"/>
    <w:rsid w:val="6115E20F"/>
    <w:rsid w:val="627B508A"/>
    <w:rsid w:val="65335AA2"/>
    <w:rsid w:val="6801236D"/>
    <w:rsid w:val="6829031B"/>
    <w:rsid w:val="69AD85E2"/>
    <w:rsid w:val="6A99D4DD"/>
    <w:rsid w:val="6BD06B0F"/>
    <w:rsid w:val="6E12881F"/>
    <w:rsid w:val="7267C015"/>
    <w:rsid w:val="786F7BDD"/>
    <w:rsid w:val="7AC0592A"/>
    <w:rsid w:val="7D5FE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8ED4"/>
  <w15:chartTrackingRefBased/>
  <w15:docId w15:val="{DE59C539-B850-43C8-8832-8897536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AA9"/>
    <w:pPr>
      <w:spacing w:after="200" w:line="276" w:lineRule="auto"/>
    </w:pPr>
    <w:rPr>
      <w:rFonts w:eastAsiaTheme="minorEastAsia"/>
      <w:lang w:val="en-GB" w:eastAsia="pl-PL"/>
    </w:rPr>
  </w:style>
  <w:style w:type="paragraph" w:styleId="Nagwek1">
    <w:name w:val="heading 1"/>
    <w:basedOn w:val="Normalny"/>
    <w:next w:val="Normalny"/>
    <w:link w:val="Nagwek1Znak"/>
    <w:qFormat/>
    <w:rsid w:val="00F56AA9"/>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5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6AA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semiHidden/>
    <w:rsid w:val="00F56AA9"/>
    <w:rPr>
      <w:rFonts w:asciiTheme="majorHAnsi" w:eastAsiaTheme="majorEastAsia" w:hAnsiTheme="majorHAnsi" w:cstheme="majorBidi"/>
      <w:color w:val="2F5496" w:themeColor="accent1" w:themeShade="BF"/>
      <w:sz w:val="26"/>
      <w:szCs w:val="26"/>
      <w:lang w:eastAsia="pl-PL"/>
    </w:rPr>
  </w:style>
  <w:style w:type="paragraph" w:styleId="Stopka">
    <w:name w:val="footer"/>
    <w:basedOn w:val="Normalny"/>
    <w:link w:val="StopkaZnak"/>
    <w:uiPriority w:val="99"/>
    <w:unhideWhenUsed/>
    <w:rsid w:val="00F56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AA9"/>
    <w:rPr>
      <w:rFonts w:eastAsiaTheme="minorEastAsia"/>
      <w:lang w:eastAsia="pl-PL"/>
    </w:rPr>
  </w:style>
  <w:style w:type="character" w:styleId="Hipercze">
    <w:name w:val="Hyperlink"/>
    <w:basedOn w:val="Domylnaczcionkaakapitu"/>
    <w:uiPriority w:val="99"/>
    <w:unhideWhenUsed/>
    <w:rsid w:val="00F56AA9"/>
    <w:rPr>
      <w:color w:val="0563C1" w:themeColor="hyperlink"/>
      <w:u w:val="single"/>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uiPriority w:val="34"/>
    <w:qFormat/>
    <w:rsid w:val="00F56AA9"/>
    <w:pPr>
      <w:ind w:left="720"/>
      <w:contextualSpacing/>
    </w:pPr>
  </w:style>
  <w:style w:type="paragraph" w:styleId="Tekstpodstawowy">
    <w:name w:val="Body Text"/>
    <w:basedOn w:val="Normalny"/>
    <w:link w:val="TekstpodstawowyZnak"/>
    <w:rsid w:val="00F56AA9"/>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F56AA9"/>
    <w:rPr>
      <w:rFonts w:ascii="Times New Roman" w:eastAsia="Times New Roman" w:hAnsi="Times New Roman" w:cs="Times New Roman"/>
      <w:sz w:val="24"/>
      <w:szCs w:val="24"/>
      <w:lang w:eastAsia="pl-PL"/>
    </w:rPr>
  </w:style>
  <w:style w:type="table" w:styleId="Tabela-Siatka">
    <w:name w:val="Table Grid"/>
    <w:basedOn w:val="Standardowy"/>
    <w:rsid w:val="00F56AA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56AA9"/>
    <w:pPr>
      <w:spacing w:after="0" w:line="240" w:lineRule="auto"/>
    </w:pPr>
    <w:rPr>
      <w:rFonts w:ascii="Calibri" w:eastAsia="Calibri" w:hAnsi="Calibri" w:cs="Times New Roman"/>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F56AA9"/>
    <w:rPr>
      <w:rFonts w:eastAsiaTheme="minorEastAsia"/>
      <w:lang w:eastAsia="pl-PL"/>
    </w:rPr>
  </w:style>
  <w:style w:type="character" w:customStyle="1" w:styleId="BezodstpwZnak">
    <w:name w:val="Bez odstępów Znak"/>
    <w:link w:val="Bezodstpw"/>
    <w:uiPriority w:val="1"/>
    <w:rsid w:val="00F56AA9"/>
    <w:rPr>
      <w:rFonts w:ascii="Calibri" w:eastAsia="Calibri" w:hAnsi="Calibri" w:cs="Times New Roman"/>
    </w:rPr>
  </w:style>
  <w:style w:type="paragraph" w:styleId="Tekstdymka">
    <w:name w:val="Balloon Text"/>
    <w:basedOn w:val="Normalny"/>
    <w:link w:val="TekstdymkaZnak"/>
    <w:uiPriority w:val="99"/>
    <w:semiHidden/>
    <w:unhideWhenUsed/>
    <w:rsid w:val="00B35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0FC"/>
    <w:rPr>
      <w:rFonts w:ascii="Segoe UI" w:eastAsiaTheme="minorEastAsia" w:hAnsi="Segoe UI" w:cs="Segoe UI"/>
      <w:sz w:val="18"/>
      <w:szCs w:val="18"/>
      <w:lang w:eastAsia="pl-PL"/>
    </w:rPr>
  </w:style>
  <w:style w:type="character" w:styleId="Odwoaniedokomentarza">
    <w:name w:val="annotation reference"/>
    <w:basedOn w:val="Domylnaczcionkaakapitu"/>
    <w:uiPriority w:val="99"/>
    <w:semiHidden/>
    <w:unhideWhenUsed/>
    <w:rsid w:val="009E7BBB"/>
    <w:rPr>
      <w:sz w:val="16"/>
      <w:szCs w:val="16"/>
    </w:rPr>
  </w:style>
  <w:style w:type="paragraph" w:styleId="Tekstkomentarza">
    <w:name w:val="annotation text"/>
    <w:basedOn w:val="Normalny"/>
    <w:link w:val="TekstkomentarzaZnak"/>
    <w:uiPriority w:val="99"/>
    <w:semiHidden/>
    <w:unhideWhenUsed/>
    <w:rsid w:val="009E7B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BBB"/>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9E7BBB"/>
    <w:rPr>
      <w:b/>
      <w:bCs/>
    </w:rPr>
  </w:style>
  <w:style w:type="character" w:customStyle="1" w:styleId="TematkomentarzaZnak">
    <w:name w:val="Temat komentarza Znak"/>
    <w:basedOn w:val="TekstkomentarzaZnak"/>
    <w:link w:val="Tematkomentarza"/>
    <w:uiPriority w:val="99"/>
    <w:semiHidden/>
    <w:rsid w:val="009E7BBB"/>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6A3CCE"/>
    <w:rPr>
      <w:color w:val="605E5C"/>
      <w:shd w:val="clear" w:color="auto" w:fill="E1DFDD"/>
    </w:rPr>
  </w:style>
  <w:style w:type="paragraph" w:styleId="Nagwek">
    <w:name w:val="header"/>
    <w:basedOn w:val="Normalny"/>
    <w:link w:val="NagwekZnak"/>
    <w:uiPriority w:val="99"/>
    <w:unhideWhenUsed/>
    <w:rsid w:val="003B7F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FD4"/>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4914">
      <w:bodyDiv w:val="1"/>
      <w:marLeft w:val="0"/>
      <w:marRight w:val="0"/>
      <w:marTop w:val="0"/>
      <w:marBottom w:val="0"/>
      <w:divBdr>
        <w:top w:val="none" w:sz="0" w:space="0" w:color="auto"/>
        <w:left w:val="none" w:sz="0" w:space="0" w:color="auto"/>
        <w:bottom w:val="none" w:sz="0" w:space="0" w:color="auto"/>
        <w:right w:val="none" w:sz="0" w:space="0" w:color="auto"/>
      </w:divBdr>
    </w:div>
    <w:div w:id="1228153942">
      <w:bodyDiv w:val="1"/>
      <w:marLeft w:val="0"/>
      <w:marRight w:val="0"/>
      <w:marTop w:val="0"/>
      <w:marBottom w:val="0"/>
      <w:divBdr>
        <w:top w:val="none" w:sz="0" w:space="0" w:color="auto"/>
        <w:left w:val="none" w:sz="0" w:space="0" w:color="auto"/>
        <w:bottom w:val="none" w:sz="0" w:space="0" w:color="auto"/>
        <w:right w:val="none" w:sz="0" w:space="0" w:color="auto"/>
      </w:divBdr>
    </w:div>
    <w:div w:id="12292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fnp.org.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fnp.org.pl" TargetMode="External"/><Relationship Id="rId4" Type="http://schemas.openxmlformats.org/officeDocument/2006/relationships/settings" Target="settings.xml"/><Relationship Id="rId9" Type="http://schemas.openxmlformats.org/officeDocument/2006/relationships/hyperlink" Target="mailto:iodo@fnp.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DE35D-CEB5-4951-A97B-AB65D48F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3682</Words>
  <Characters>20992</Characters>
  <Application>Microsoft Office Word</Application>
  <DocSecurity>0</DocSecurity>
  <Lines>174</Lines>
  <Paragraphs>49</Paragraphs>
  <ScaleCrop>false</ScaleCrop>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Obidziński</dc:creator>
  <cp:keywords>, docId:46EE58226DBB6A4C5D78EEE8F03958DF</cp:keywords>
  <dc:description/>
  <cp:lastModifiedBy>Joanna Howis-Kierzek</cp:lastModifiedBy>
  <cp:revision>119</cp:revision>
  <cp:lastPrinted>2024-06-26T09:13:00Z</cp:lastPrinted>
  <dcterms:created xsi:type="dcterms:W3CDTF">2020-07-20T10:47:00Z</dcterms:created>
  <dcterms:modified xsi:type="dcterms:W3CDTF">2026-05-11T11:11:00Z</dcterms:modified>
</cp:coreProperties>
</file>