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F3BF" w14:textId="77777777" w:rsidR="00754321" w:rsidRDefault="00754321" w:rsidP="00AA1F84">
      <w:pPr>
        <w:rPr>
          <w:b/>
        </w:rPr>
      </w:pPr>
    </w:p>
    <w:p w14:paraId="2673B087" w14:textId="648E3E1B" w:rsidR="00754321" w:rsidRPr="00754321" w:rsidRDefault="00754321" w:rsidP="00754321">
      <w:pPr>
        <w:jc w:val="center"/>
        <w:rPr>
          <w:b/>
        </w:rPr>
      </w:pPr>
      <w:r>
        <w:rPr>
          <w:b/>
        </w:rPr>
        <w:t>Q</w:t>
      </w:r>
      <w:r w:rsidRPr="00754321">
        <w:rPr>
          <w:b/>
        </w:rPr>
        <w:t xml:space="preserve">uestions and </w:t>
      </w:r>
      <w:r>
        <w:rPr>
          <w:b/>
        </w:rPr>
        <w:t xml:space="preserve">answers </w:t>
      </w:r>
      <w:r>
        <w:rPr>
          <w:b/>
        </w:rPr>
        <w:br/>
      </w:r>
      <w:r w:rsidRPr="00754321">
        <w:rPr>
          <w:b/>
        </w:rPr>
        <w:t>regarding the Call for Applications for a Project Partner in the PRIME initiative</w:t>
      </w:r>
    </w:p>
    <w:p w14:paraId="456F4C20" w14:textId="77777777" w:rsidR="00754321" w:rsidRDefault="00754321" w:rsidP="00AA1F84">
      <w:pPr>
        <w:rPr>
          <w:b/>
        </w:rPr>
      </w:pPr>
    </w:p>
    <w:p w14:paraId="2CD4B9FE" w14:textId="3F47ED81" w:rsidR="00AA1F84" w:rsidRPr="00B4673C" w:rsidRDefault="00AA1F84" w:rsidP="00AA1F84">
      <w:pPr>
        <w:rPr>
          <w:b/>
        </w:rPr>
      </w:pPr>
      <w:r w:rsidRPr="00B4673C">
        <w:rPr>
          <w:b/>
        </w:rPr>
        <w:t>1. Is it possible to extend the deadline (August 21, 2025) for partner applications?</w:t>
      </w:r>
    </w:p>
    <w:p w14:paraId="1502822E" w14:textId="3FE88468" w:rsidR="000B5C27" w:rsidRDefault="000B5C27" w:rsidP="000B5C27">
      <w:bookmarkStart w:id="0" w:name="_Hlk204941560"/>
      <w:r>
        <w:t xml:space="preserve">Yes. The Call for applications dated July 22, 2025, initially set the deadline for submitting offers to August 21, 2025. In response to the interest expressed in the Project and the call, we are publishing a revised version of the </w:t>
      </w:r>
      <w:r w:rsidR="00F80662">
        <w:t xml:space="preserve">Call </w:t>
      </w:r>
      <w:r>
        <w:t xml:space="preserve">Announcement, </w:t>
      </w:r>
      <w:r w:rsidRPr="00F80662">
        <w:rPr>
          <w:b/>
        </w:rPr>
        <w:t>extending the application deadline to September 11, 2025.</w:t>
      </w:r>
    </w:p>
    <w:p w14:paraId="30277373" w14:textId="77777777" w:rsidR="000B5C27" w:rsidRDefault="000B5C27" w:rsidP="000B5C27">
      <w:r>
        <w:t>We are keen to receive high-quality proposals from all institutions capable of addressing the challenges and needs of the PRIME Project, particularly those that can take on tasks essential to the success of our grantees’ projects.</w:t>
      </w:r>
    </w:p>
    <w:p w14:paraId="23C37C9B" w14:textId="77777777" w:rsidR="000B5C27" w:rsidRDefault="000B5C27" w:rsidP="000B5C27">
      <w:r>
        <w:t>The application deadline will not be extended further. The timeline for selecting the Project partner is tied to the implementation schedule of specific Project phases, especially the upcoming grantee call and the time required to launch it without delays. The Project is already underway, and any delay in the schedule would limit its impact. Key events in the Project, including subsequent editions and calls, are planned and must be completed by the non-extendable deadline of end of 2029.</w:t>
      </w:r>
    </w:p>
    <w:p w14:paraId="76F26C71" w14:textId="77777777" w:rsidR="000B5C27" w:rsidRDefault="000B5C27" w:rsidP="000B5C27">
      <w:r>
        <w:t>According to the Implementation Act, Article 39(2), the lead partner (FNP) is required to announce an open call for partners with a minimum 21-day application period. In the July 22, 2025 Announcement, we set a 30-day deadline. With the new deadline, the application window will now span 51 days.</w:t>
      </w:r>
    </w:p>
    <w:p w14:paraId="68C76D5A" w14:textId="26E69517" w:rsidR="00E101AB" w:rsidRPr="00B4673C" w:rsidRDefault="00F34463" w:rsidP="000B5C27">
      <w:pPr>
        <w:rPr>
          <w:b/>
        </w:rPr>
      </w:pPr>
      <w:r>
        <w:rPr>
          <w:b/>
        </w:rPr>
        <w:t>2</w:t>
      </w:r>
      <w:r w:rsidR="007A4830" w:rsidRPr="00B4673C">
        <w:rPr>
          <w:b/>
        </w:rPr>
        <w:t xml:space="preserve">. </w:t>
      </w:r>
      <w:r w:rsidR="00E101AB" w:rsidRPr="00B4673C">
        <w:rPr>
          <w:b/>
        </w:rPr>
        <w:t xml:space="preserve">Are </w:t>
      </w:r>
      <w:r w:rsidR="00B4673C">
        <w:rPr>
          <w:b/>
        </w:rPr>
        <w:t>applicant</w:t>
      </w:r>
      <w:r>
        <w:rPr>
          <w:b/>
        </w:rPr>
        <w:t>s</w:t>
      </w:r>
      <w:r w:rsidR="00E101AB" w:rsidRPr="00B4673C">
        <w:rPr>
          <w:b/>
        </w:rPr>
        <w:t xml:space="preserve"> allowed to include images/diagrams in the response? </w:t>
      </w:r>
    </w:p>
    <w:p w14:paraId="6D58FC81" w14:textId="77777777" w:rsidR="00D575DF" w:rsidRDefault="00D575DF" w:rsidP="00E101AB">
      <w:r w:rsidRPr="00D575DF">
        <w:t>Yes. Images or figures are allowed and will not be excluded from evaluation, provided they support the content relevant to the evaluation criteria. Any additional material beyond this will not be considered.</w:t>
      </w:r>
    </w:p>
    <w:p w14:paraId="38F16343" w14:textId="1DE73907" w:rsidR="007A4830" w:rsidRPr="00E84DA9" w:rsidRDefault="00F87F83" w:rsidP="00E101AB">
      <w:pPr>
        <w:rPr>
          <w:b/>
        </w:rPr>
      </w:pPr>
      <w:r>
        <w:rPr>
          <w:b/>
        </w:rPr>
        <w:t>3</w:t>
      </w:r>
      <w:r w:rsidR="00B4673C" w:rsidRPr="00E84DA9">
        <w:rPr>
          <w:b/>
        </w:rPr>
        <w:t xml:space="preserve">. </w:t>
      </w:r>
      <w:r w:rsidR="00E101AB" w:rsidRPr="00E84DA9">
        <w:rPr>
          <w:b/>
        </w:rPr>
        <w:t>In section 2.4 – Expert support – please can you clarify what is meant by this expert support and how it is different from training or mentoring, in the context of PRIME?</w:t>
      </w:r>
    </w:p>
    <w:p w14:paraId="2DFC97B8" w14:textId="77777777" w:rsidR="00D575DF" w:rsidRDefault="00D575DF" w:rsidP="007A4830">
      <w:r w:rsidRPr="00D575DF">
        <w:t xml:space="preserve">Section 2.4 – EXPERT SUPPORT is separate from Section 2.2 (BUSINESS MENTORING) and Section 2.3 (incorrectly </w:t>
      </w:r>
      <w:proofErr w:type="spellStart"/>
      <w:r w:rsidRPr="00D575DF">
        <w:t>labeled</w:t>
      </w:r>
      <w:proofErr w:type="spellEnd"/>
      <w:r w:rsidRPr="00D575DF">
        <w:t xml:space="preserve"> as 3.2) (TRAINING/WORKSHOPS). It corresponds to Supplementary Criterion IV – EXPERT SUPPORT. The content to be evaluated in this section is outlined in the description of this criterion in the Call Announcement, pages 11–12.</w:t>
      </w:r>
    </w:p>
    <w:p w14:paraId="05A5AE7A" w14:textId="056CE51F" w:rsidR="007A4830" w:rsidRDefault="00103370" w:rsidP="007A4830">
      <w:pPr>
        <w:rPr>
          <w:b/>
        </w:rPr>
      </w:pPr>
      <w:r>
        <w:rPr>
          <w:b/>
        </w:rPr>
        <w:t>4</w:t>
      </w:r>
      <w:r w:rsidR="00B4673C">
        <w:rPr>
          <w:b/>
        </w:rPr>
        <w:t xml:space="preserve">. </w:t>
      </w:r>
      <w:r w:rsidR="007A4830" w:rsidRPr="007A4830">
        <w:rPr>
          <w:b/>
        </w:rPr>
        <w:t xml:space="preserve">Is the unit rate to be calculated as a unified unit rate, or can there be a distinction made between unit rates (e.g. based on seniority/experience, or on role)? </w:t>
      </w:r>
    </w:p>
    <w:p w14:paraId="7AD91BFF" w14:textId="77777777" w:rsidR="00D575DF" w:rsidRDefault="00D575DF" w:rsidP="00D575DF">
      <w:r>
        <w:t>In the form, you are required to fill in the “Estimated number of hours (hourly unit rates)”. The unit rate must be determined in accordance with Article 55(2–5) of the Common Provisions Regulation and based on the actual historical costs of the Partner’s personnel performing tasks comparable to those defined in the Project.</w:t>
      </w:r>
    </w:p>
    <w:p w14:paraId="13C68A6B" w14:textId="77777777" w:rsidR="00D575DF" w:rsidRDefault="00D575DF" w:rsidP="00D575DF">
      <w:r>
        <w:t xml:space="preserve">In the application form, the Partner is asked to indicate the total number of estimated unit costs. However, if your organisation’s practice involves applying different types of unit costs (e.g. based on seniority, experience, or role), you are free to break down the total unit rate into corresponding </w:t>
      </w:r>
      <w:r>
        <w:lastRenderedPageBreak/>
        <w:t>categories or types—provided that the calculation method complies with Part III B. Financial Terms of the Partnership in the Call Announcement.</w:t>
      </w:r>
    </w:p>
    <w:p w14:paraId="40233518" w14:textId="68FD645A" w:rsidR="007A4830" w:rsidRDefault="00103370" w:rsidP="00D575DF">
      <w:pPr>
        <w:rPr>
          <w:b/>
        </w:rPr>
      </w:pPr>
      <w:r>
        <w:rPr>
          <w:b/>
        </w:rPr>
        <w:t>5</w:t>
      </w:r>
      <w:r w:rsidR="00B4673C">
        <w:rPr>
          <w:b/>
        </w:rPr>
        <w:t xml:space="preserve">. </w:t>
      </w:r>
      <w:r w:rsidR="007A4830" w:rsidRPr="007A4830">
        <w:rPr>
          <w:b/>
        </w:rPr>
        <w:t xml:space="preserve">Are there any restrictions on who within </w:t>
      </w:r>
      <w:r w:rsidR="00E84DA9">
        <w:rPr>
          <w:b/>
        </w:rPr>
        <w:t>the Partner</w:t>
      </w:r>
      <w:r w:rsidR="007A4830" w:rsidRPr="007A4830">
        <w:rPr>
          <w:b/>
        </w:rPr>
        <w:t xml:space="preserve"> organisation can or cannot be included in the unit rate calculation based on their role/title? </w:t>
      </w:r>
    </w:p>
    <w:p w14:paraId="7FB35C79" w14:textId="77777777" w:rsidR="00D575DF" w:rsidRDefault="00D575DF" w:rsidP="007A4830">
      <w:r w:rsidRPr="00D575DF">
        <w:t>As stated in Part III B of the Call Announcement, point 4: the unit rate shall cover only the costs of substantive staff. Administrative and management tasks are to be treated as indirect costs of the Project.</w:t>
      </w:r>
    </w:p>
    <w:p w14:paraId="654F542D" w14:textId="362A719D" w:rsidR="007A4830" w:rsidRDefault="00E26EA8" w:rsidP="007A4830">
      <w:pPr>
        <w:rPr>
          <w:b/>
        </w:rPr>
      </w:pPr>
      <w:r>
        <w:rPr>
          <w:b/>
        </w:rPr>
        <w:t>6</w:t>
      </w:r>
      <w:r w:rsidR="00B4673C">
        <w:rPr>
          <w:b/>
        </w:rPr>
        <w:t xml:space="preserve">. </w:t>
      </w:r>
      <w:r w:rsidR="007A4830" w:rsidRPr="007A4830">
        <w:rPr>
          <w:b/>
        </w:rPr>
        <w:t>For events, specifically for the “intensive bootcamp event” in Phase 1, and the “Study visit” in Phase 2, what involvement is expect</w:t>
      </w:r>
      <w:r w:rsidR="00E84DA9">
        <w:rPr>
          <w:b/>
        </w:rPr>
        <w:t>ed</w:t>
      </w:r>
      <w:r w:rsidR="007A4830" w:rsidRPr="007A4830">
        <w:rPr>
          <w:b/>
        </w:rPr>
        <w:t xml:space="preserve"> from the partner in managing the logistics and organisation of these events? </w:t>
      </w:r>
    </w:p>
    <w:p w14:paraId="6FCF70A9" w14:textId="77777777" w:rsidR="00D575DF" w:rsidRDefault="00D575DF" w:rsidP="00D575DF">
      <w:r>
        <w:t>Part II of the Call Announcement refers to this action in:</w:t>
      </w:r>
    </w:p>
    <w:p w14:paraId="26476979" w14:textId="77777777" w:rsidR="00D575DF" w:rsidRDefault="00D575DF" w:rsidP="00D575DF">
      <w:pPr>
        <w:pStyle w:val="Akapitzlist"/>
        <w:numPr>
          <w:ilvl w:val="0"/>
          <w:numId w:val="2"/>
        </w:numPr>
      </w:pPr>
      <w:r>
        <w:t>Point 6: the organisation and delivery of workshops during the bootcamp, within thematic areas agreed upon with the Foundation; and</w:t>
      </w:r>
    </w:p>
    <w:p w14:paraId="26E9E179" w14:textId="77777777" w:rsidR="00D575DF" w:rsidRDefault="00D575DF" w:rsidP="00D575DF">
      <w:pPr>
        <w:pStyle w:val="Akapitzlist"/>
        <w:numPr>
          <w:ilvl w:val="0"/>
          <w:numId w:val="2"/>
        </w:numPr>
      </w:pPr>
      <w:r>
        <w:t>Point 12: the design, organisation, and coordination of the substantive aspects of study visits to renowned institutions supporting academic entrepreneurship and technology transfer outside of Poland, including the planning of meetings and networking activities.</w:t>
      </w:r>
    </w:p>
    <w:p w14:paraId="21FDCEDE" w14:textId="77777777" w:rsidR="00D575DF" w:rsidRDefault="00D575DF" w:rsidP="00D575DF">
      <w:r>
        <w:t>The duration of the event in Poland is specified in Annex 2 to the Call, "OBJECTIVES FOR THE PARTNERSHIP AGREEMENT – PRIME PROJECT", in Part IV (3)(2): “each event lasting a minimum of three full working days”; and for the event outside Poland, in Part IV point 4: “Study visits shall last at least three full working days each time.”</w:t>
      </w:r>
    </w:p>
    <w:p w14:paraId="2CBE5EC0" w14:textId="3483CD34" w:rsidR="007A4830" w:rsidRDefault="00D575DF" w:rsidP="00D575DF">
      <w:r>
        <w:t>The organisation of both events requires close cooperation between the Partner and the Lead Partner (FNP).</w:t>
      </w:r>
    </w:p>
    <w:bookmarkEnd w:id="0"/>
    <w:p w14:paraId="3F6410EB" w14:textId="5D2EC53C" w:rsidR="00A36D37" w:rsidRPr="003F07D7" w:rsidRDefault="003F07D7" w:rsidP="00D575DF">
      <w:pPr>
        <w:rPr>
          <w:b/>
        </w:rPr>
      </w:pPr>
      <w:r w:rsidRPr="003F07D7">
        <w:rPr>
          <w:b/>
        </w:rPr>
        <w:t>7. Are we allowed to divide employees into groups to calculate different unit rates based solely on our internal role classification? If so, what documentation or evidence will be required to justify these differentiated unit rates?</w:t>
      </w:r>
    </w:p>
    <w:p w14:paraId="50E386E2" w14:textId="744C4E0B" w:rsidR="002D2338" w:rsidRDefault="003F07D7" w:rsidP="00D575DF">
      <w:r w:rsidRPr="003F07D7">
        <w:t xml:space="preserve">It is possible to propose different unit rates for the Partner's staff. According to the "PRIME Project Partner Call Announcement," Part III B, points 2 and 3, the rate must be based on the actual remuneration of the Partner's personnel performing tasks comparable to those defined in the Project. This means that only remuneration for substantive and expert work, excluding administrative and management work, can be included in the rate calculation. Positions within the Partner's organization involved in the PRIME project </w:t>
      </w:r>
      <w:r w:rsidR="003B1854">
        <w:t xml:space="preserve">funded with unit costs </w:t>
      </w:r>
      <w:r w:rsidRPr="003F07D7">
        <w:t>may only involve substantive work for the Project. Grouping positions within one or more unit rates may be based, for example, on the task description or years of experience of the employee (classification within a given rate may be based on the organization's practice). Furthermore, before signing the agreement with the Foundation, the Partner will provide confirmation of the rate calculation, pursuant to Art. 55 sections 2-5 of the Common Provisions Regulation, by an independent auditor appointed by the Foundation;</w:t>
      </w:r>
    </w:p>
    <w:p w14:paraId="616F9A03" w14:textId="53062418" w:rsidR="002D2338" w:rsidRDefault="002D2338" w:rsidP="00D575DF"/>
    <w:p w14:paraId="2DA38848" w14:textId="07D04100" w:rsidR="008C0627" w:rsidRPr="008C0627" w:rsidRDefault="008C0627" w:rsidP="00D575DF">
      <w:pPr>
        <w:rPr>
          <w:b/>
        </w:rPr>
      </w:pPr>
      <w:r w:rsidRPr="008C0627">
        <w:rPr>
          <w:b/>
        </w:rPr>
        <w:t>8. Is it necessary to present a breakdown of the estimated planned hourly involvement for each section of the project, based on each of the roles with different unit rates?</w:t>
      </w:r>
    </w:p>
    <w:p w14:paraId="7D9549A2" w14:textId="48506B3E" w:rsidR="008C0627" w:rsidRDefault="009A0F7D" w:rsidP="00D575DF">
      <w:r w:rsidRPr="009A0F7D">
        <w:lastRenderedPageBreak/>
        <w:t>It is not required to break down the estimated number of unit rates by type within each section of the application. The total number of hourly unit rates may be provided as an aggregate figure.</w:t>
      </w:r>
    </w:p>
    <w:p w14:paraId="38678B0A" w14:textId="77777777" w:rsidR="002D2338" w:rsidRDefault="002D2338" w:rsidP="00D575DF"/>
    <w:p w14:paraId="0514F8E1" w14:textId="7C916FBA" w:rsidR="00A36D37" w:rsidRPr="00A36D37" w:rsidRDefault="00D44D9E" w:rsidP="00A36D37">
      <w:pPr>
        <w:rPr>
          <w:b/>
        </w:rPr>
      </w:pPr>
      <w:r>
        <w:rPr>
          <w:b/>
        </w:rPr>
        <w:t xml:space="preserve">9. </w:t>
      </w:r>
      <w:r w:rsidR="00A36D37" w:rsidRPr="00A36D37">
        <w:rPr>
          <w:b/>
        </w:rPr>
        <w:t xml:space="preserve">“PRIME Project Partner </w:t>
      </w:r>
      <w:r w:rsidR="00D243B3">
        <w:rPr>
          <w:b/>
        </w:rPr>
        <w:t xml:space="preserve">Call </w:t>
      </w:r>
      <w:r w:rsidR="00A36D37" w:rsidRPr="00A36D37">
        <w:rPr>
          <w:b/>
        </w:rPr>
        <w:t>Announcement”, in section III B) 2, there is a reference to the Guidelines on the Eligibility of Expenditure for 2021–2027, but it only refers to documents in Polish. Could you please indicate whether an official English translation of these Guidelines is available?</w:t>
      </w:r>
    </w:p>
    <w:p w14:paraId="7E80E049" w14:textId="37CA8666" w:rsidR="00A36D37" w:rsidRPr="00312883" w:rsidRDefault="00A36D37" w:rsidP="00A36D37">
      <w:pPr>
        <w:rPr>
          <w:i/>
        </w:rPr>
      </w:pPr>
      <w:bookmarkStart w:id="1" w:name="_Hlk204941052"/>
      <w:r>
        <w:t xml:space="preserve">“PRIME Project Partner </w:t>
      </w:r>
      <w:r w:rsidR="00D243B3">
        <w:t xml:space="preserve">Call </w:t>
      </w:r>
      <w:r>
        <w:t xml:space="preserve">Announcement” Section III B) 2 refers to Subsection 3.8 </w:t>
      </w:r>
      <w:r w:rsidRPr="00D243B3">
        <w:rPr>
          <w:b/>
        </w:rPr>
        <w:t>Project Personnel</w:t>
      </w:r>
      <w:r>
        <w:t xml:space="preserve"> of the Guidelines:</w:t>
      </w:r>
      <w:r w:rsidR="00312883">
        <w:t xml:space="preserve"> </w:t>
      </w:r>
      <w:r w:rsidR="00312883" w:rsidRPr="00312883">
        <w:rPr>
          <w:i/>
        </w:rPr>
        <w:t>The calculation and reimbursement of the unit rate shall comply with the Guidelines on the Eligibility of Expenditure for 2021–2027 1F (Subsection 3.8 – Project Personnel)</w:t>
      </w:r>
    </w:p>
    <w:p w14:paraId="44C244B9" w14:textId="050B613D" w:rsidR="00A36D37" w:rsidRPr="00312883" w:rsidRDefault="00A36D37" w:rsidP="00A36D37">
      <w:pPr>
        <w:rPr>
          <w:i/>
        </w:rPr>
      </w:pPr>
      <w:r>
        <w:t>There is no official English version of this document. However, the application of Sub</w:t>
      </w:r>
      <w:r w:rsidR="00312883">
        <w:t>section</w:t>
      </w:r>
      <w:r>
        <w:t xml:space="preserve"> 3.8 of the Guidelines in the context of accounting for personnel costs using unit rates applies solely to point </w:t>
      </w:r>
      <w:r w:rsidRPr="00312883">
        <w:rPr>
          <w:i/>
        </w:rPr>
        <w:t>13:</w:t>
      </w:r>
      <w:r w:rsidR="00312883" w:rsidRPr="00312883">
        <w:rPr>
          <w:i/>
        </w:rPr>
        <w:t xml:space="preserve"> A</w:t>
      </w:r>
      <w:r w:rsidRPr="00312883">
        <w:rPr>
          <w:i/>
        </w:rPr>
        <w:t xml:space="preserve"> person authorized to manage funds constituting project co-financing and to make binding financial decisions on behalf of the beneficiary must not have been lawfully convicted of an offense against property, against economic turnover, against the activities of public institutions or local government, against the credibility of documents, or for a fiscal offense. This must be verified by the beneficiary based on a declaration from that person before their involvement in the project.</w:t>
      </w:r>
    </w:p>
    <w:p w14:paraId="6BD33429" w14:textId="77777777" w:rsidR="00A36D37" w:rsidRDefault="00A36D37" w:rsidP="00A36D37"/>
    <w:p w14:paraId="6099CB7A" w14:textId="77CAC353" w:rsidR="00A36D37" w:rsidRDefault="00A36D37" w:rsidP="00A36D37">
      <w:r>
        <w:t xml:space="preserve">However, in the </w:t>
      </w:r>
      <w:r w:rsidR="006927CC">
        <w:t xml:space="preserve">Call </w:t>
      </w:r>
      <w:r>
        <w:t>Announcement, the Foundation specified that the Project personnel must be employed under an employment contract. Therefore, it refers to Sub</w:t>
      </w:r>
      <w:r w:rsidR="006927CC">
        <w:t>section</w:t>
      </w:r>
      <w:r>
        <w:t xml:space="preserve"> 3.8 of the Guidelines, which includes, among others, general principles regarding the eligibility of project personnel</w:t>
      </w:r>
      <w:r w:rsidR="006927CC">
        <w:t xml:space="preserve"> </w:t>
      </w:r>
      <w:r>
        <w:t>—specifically point 3:</w:t>
      </w:r>
      <w:r w:rsidR="006927CC">
        <w:t xml:space="preserve"> </w:t>
      </w:r>
      <w:r w:rsidRPr="006927CC">
        <w:rPr>
          <w:i/>
        </w:rPr>
        <w:t>The employment or secondment of project personnel to perform tasks related to the implementation of the beneficiary's projects must be appropriately documented by provisions of the employment contract, an agreement, or the employee's job description, specifying, in particular, the tasks carried out within the projects. These documents should cover all tasks of the personnel involved in the project(s).</w:t>
      </w:r>
    </w:p>
    <w:p w14:paraId="049002A9" w14:textId="1627FB37" w:rsidR="00A36D37" w:rsidRPr="00D243B3" w:rsidRDefault="00C146F3" w:rsidP="00A36D37">
      <w:pPr>
        <w:rPr>
          <w:i/>
        </w:rPr>
      </w:pPr>
      <w:r w:rsidRPr="00C146F3">
        <w:t>It is worth noting that</w:t>
      </w:r>
      <w:r>
        <w:t xml:space="preserve"> </w:t>
      </w:r>
      <w:r w:rsidR="00A36D37">
        <w:t>Sub</w:t>
      </w:r>
      <w:r w:rsidR="00D243B3">
        <w:t>section</w:t>
      </w:r>
      <w:r w:rsidR="00A36D37">
        <w:t xml:space="preserve"> 3.10 of the Guidelines, </w:t>
      </w:r>
      <w:r w:rsidR="00A36D37" w:rsidRPr="00D243B3">
        <w:rPr>
          <w:b/>
        </w:rPr>
        <w:t>Simplified cost options</w:t>
      </w:r>
      <w:r w:rsidR="00A36D37">
        <w:t>, point 9, states:</w:t>
      </w:r>
      <w:r w:rsidR="00D243B3">
        <w:t xml:space="preserve"> </w:t>
      </w:r>
      <w:r w:rsidR="00A36D37" w:rsidRPr="00D243B3">
        <w:rPr>
          <w:i/>
        </w:rPr>
        <w:t>Costs settled using simplified cost options are treated as actual expenditures. There is no obligation to collect invoices or other accounting documents of equivalent evidential value to confirm the incurrence of the expenditure within the project.</w:t>
      </w:r>
      <w:bookmarkEnd w:id="1"/>
    </w:p>
    <w:p w14:paraId="31DF3865" w14:textId="21D1F2A1" w:rsidR="00A36D37" w:rsidRDefault="00A36D37" w:rsidP="00A36D37"/>
    <w:p w14:paraId="0E55C66F" w14:textId="5B58D892" w:rsidR="00C146F3" w:rsidRDefault="00883D6B" w:rsidP="00A36D37">
      <w:pPr>
        <w:rPr>
          <w:b/>
        </w:rPr>
      </w:pPr>
      <w:r>
        <w:rPr>
          <w:b/>
        </w:rPr>
        <w:t xml:space="preserve">10. </w:t>
      </w:r>
      <w:r w:rsidR="00C146F3" w:rsidRPr="00C146F3">
        <w:rPr>
          <w:b/>
        </w:rPr>
        <w:t>Section III B) 3 refers to an independent audit designated by the Foundation. Will this process take place after the partner has been selected, or should it be carried out before the application is submitted?</w:t>
      </w:r>
    </w:p>
    <w:p w14:paraId="10A731C6" w14:textId="792D43A1" w:rsidR="00C146F3" w:rsidRPr="00C146F3" w:rsidRDefault="00C146F3" w:rsidP="00A36D37"/>
    <w:p w14:paraId="58887B5C" w14:textId="6AC3864D" w:rsidR="00C146F3" w:rsidRDefault="00C146F3" w:rsidP="00A36D37">
      <w:bookmarkStart w:id="2" w:name="_Hlk204940986"/>
      <w:r w:rsidRPr="00C146F3">
        <w:t xml:space="preserve">Confirmation of the unit rates by an auditor is not required at the application stage, but only after the partner has been selected. Section III B. 3 states that the unit rate </w:t>
      </w:r>
      <w:r w:rsidR="002A74D8" w:rsidRPr="002A74D8">
        <w:rPr>
          <w:i/>
        </w:rPr>
        <w:t>must be confirmed at the expense of the candidate Partner prior to conclusion of the agreement with the Foundation by an independent auditor indicated by the Foundation</w:t>
      </w:r>
      <w:r w:rsidRPr="00C146F3">
        <w:t>.</w:t>
      </w:r>
      <w:bookmarkEnd w:id="2"/>
    </w:p>
    <w:p w14:paraId="6A04339A" w14:textId="3E3C8FE9" w:rsidR="009E3E29" w:rsidRDefault="009E3E29" w:rsidP="00A36D37"/>
    <w:p w14:paraId="1C551C36" w14:textId="77777777" w:rsidR="009E3E29" w:rsidRPr="009E3E29" w:rsidRDefault="009E3E29" w:rsidP="009E3E29">
      <w:pPr>
        <w:rPr>
          <w:lang w:val="pl-PL"/>
        </w:rPr>
      </w:pPr>
    </w:p>
    <w:p w14:paraId="1B2BD825" w14:textId="4FCC21C1" w:rsidR="009E3E29" w:rsidRPr="009E3E29" w:rsidRDefault="009E3E29" w:rsidP="009E3E29">
      <w:pPr>
        <w:rPr>
          <w:b/>
        </w:rPr>
      </w:pPr>
      <w:r w:rsidRPr="009E3E29">
        <w:rPr>
          <w:b/>
        </w:rPr>
        <w:lastRenderedPageBreak/>
        <w:t xml:space="preserve">11. The statement in Annex 1 – Application Form for candidate </w:t>
      </w:r>
      <w:r>
        <w:rPr>
          <w:b/>
        </w:rPr>
        <w:t xml:space="preserve">Partner </w:t>
      </w:r>
      <w:r w:rsidRPr="009E3E29">
        <w:rPr>
          <w:b/>
        </w:rPr>
        <w:t>– specifies that at least 75% of the proposed pool of mentors must consist of individuals from outside Poland or those who primarily carry out mentoring activities outside the territory of Poland.</w:t>
      </w:r>
    </w:p>
    <w:p w14:paraId="7C0FD663" w14:textId="77777777" w:rsidR="009E3E29" w:rsidRDefault="009E3E29" w:rsidP="009E3E29"/>
    <w:p w14:paraId="06A07C3B" w14:textId="1321209D" w:rsidR="009E3E29" w:rsidRPr="00EF68CF" w:rsidRDefault="009E3E29" w:rsidP="009E3E29">
      <w:pPr>
        <w:rPr>
          <w:b/>
        </w:rPr>
      </w:pPr>
      <w:r w:rsidRPr="00EF68CF">
        <w:rPr>
          <w:b/>
        </w:rPr>
        <w:t xml:space="preserve">How should the requirement in Section IV.B "Mandatory conditions for participation in the call" be understood, specifically point </w:t>
      </w:r>
      <w:r w:rsidR="00061BCB">
        <w:rPr>
          <w:b/>
        </w:rPr>
        <w:t xml:space="preserve">1 </w:t>
      </w:r>
      <w:r w:rsidRPr="00EF68CF">
        <w:rPr>
          <w:b/>
        </w:rPr>
        <w:t xml:space="preserve">(d): </w:t>
      </w:r>
      <w:r w:rsidR="00E70967" w:rsidRPr="00E70967">
        <w:rPr>
          <w:b/>
          <w:i/>
        </w:rPr>
        <w:t xml:space="preserve">the Partner candidate has the human resource </w:t>
      </w:r>
      <w:proofErr w:type="spellStart"/>
      <w:r w:rsidR="00E70967" w:rsidRPr="00E70967">
        <w:rPr>
          <w:b/>
          <w:i/>
        </w:rPr>
        <w:t>poten</w:t>
      </w:r>
      <w:proofErr w:type="spellEnd"/>
      <w:r w:rsidR="00E70967" w:rsidRPr="00E70967">
        <w:rPr>
          <w:rFonts w:ascii="Calibri" w:eastAsia="Calibri" w:hAnsi="Calibri" w:cs="Calibri" w:hint="eastAsia"/>
          <w:b/>
          <w:i/>
        </w:rPr>
        <w:t>􀆟</w:t>
      </w:r>
      <w:r w:rsidR="00E70967" w:rsidRPr="00E70967">
        <w:rPr>
          <w:b/>
          <w:i/>
        </w:rPr>
        <w:t xml:space="preserve">al and </w:t>
      </w:r>
      <w:proofErr w:type="spellStart"/>
      <w:r w:rsidR="00E70967" w:rsidRPr="00E70967">
        <w:rPr>
          <w:b/>
          <w:i/>
        </w:rPr>
        <w:t>prac</w:t>
      </w:r>
      <w:proofErr w:type="spellEnd"/>
      <w:r w:rsidR="00E70967" w:rsidRPr="00E70967">
        <w:rPr>
          <w:rFonts w:ascii="Calibri" w:eastAsia="Calibri" w:hAnsi="Calibri" w:cs="Calibri" w:hint="eastAsia"/>
          <w:b/>
          <w:i/>
        </w:rPr>
        <w:t>􀆟</w:t>
      </w:r>
      <w:proofErr w:type="spellStart"/>
      <w:r w:rsidR="00E70967" w:rsidRPr="00E70967">
        <w:rPr>
          <w:b/>
          <w:i/>
        </w:rPr>
        <w:t>cal</w:t>
      </w:r>
      <w:proofErr w:type="spellEnd"/>
      <w:r w:rsidR="00E70967" w:rsidRPr="00E70967">
        <w:rPr>
          <w:b/>
          <w:i/>
        </w:rPr>
        <w:t xml:space="preserve"> experience to design and conduct business mentoring processes for academic teams and academic </w:t>
      </w:r>
      <w:proofErr w:type="spellStart"/>
      <w:r w:rsidR="00E70967" w:rsidRPr="00E70967">
        <w:rPr>
          <w:b/>
          <w:i/>
        </w:rPr>
        <w:t>startups</w:t>
      </w:r>
      <w:proofErr w:type="spellEnd"/>
      <w:r w:rsidR="00E70967" w:rsidRPr="00E70967">
        <w:rPr>
          <w:b/>
          <w:i/>
        </w:rPr>
        <w:t xml:space="preserve"> at an early stage of development with the par</w:t>
      </w:r>
      <w:r w:rsidR="00E70967" w:rsidRPr="00E70967">
        <w:rPr>
          <w:rFonts w:ascii="Calibri" w:eastAsia="Calibri" w:hAnsi="Calibri" w:cs="Calibri" w:hint="eastAsia"/>
          <w:b/>
          <w:i/>
        </w:rPr>
        <w:t>􀆟</w:t>
      </w:r>
      <w:proofErr w:type="spellStart"/>
      <w:r w:rsidR="00E70967" w:rsidRPr="00E70967">
        <w:rPr>
          <w:b/>
          <w:i/>
        </w:rPr>
        <w:t>cipa</w:t>
      </w:r>
      <w:proofErr w:type="spellEnd"/>
      <w:r w:rsidR="00E70967" w:rsidRPr="00E70967">
        <w:rPr>
          <w:rFonts w:ascii="Calibri" w:eastAsia="Calibri" w:hAnsi="Calibri" w:cs="Calibri" w:hint="eastAsia"/>
          <w:b/>
          <w:i/>
        </w:rPr>
        <w:t>􀆟</w:t>
      </w:r>
      <w:r w:rsidR="00E70967" w:rsidRPr="00E70967">
        <w:rPr>
          <w:b/>
          <w:i/>
        </w:rPr>
        <w:t>on of experienced mentors from Poland and abroad (minimum 40)</w:t>
      </w:r>
      <w:r w:rsidR="00E70967" w:rsidRPr="00E70967">
        <w:rPr>
          <w:b/>
        </w:rPr>
        <w:t>;</w:t>
      </w:r>
      <w:r w:rsidRPr="00EF68CF">
        <w:rPr>
          <w:b/>
        </w:rPr>
        <w:t>?</w:t>
      </w:r>
    </w:p>
    <w:p w14:paraId="55CAA0A6" w14:textId="77777777" w:rsidR="009E3E29" w:rsidRDefault="009E3E29" w:rsidP="009E3E29"/>
    <w:p w14:paraId="5981E981" w14:textId="4327F322" w:rsidR="009E3E29" w:rsidRDefault="009E3E29" w:rsidP="009E3E29">
      <w:r>
        <w:t xml:space="preserve">The requirement to present mentors from both Poland and abroad should be interpreted in light of the declaration included in Annex 1 to the </w:t>
      </w:r>
      <w:r w:rsidR="00E70967">
        <w:t xml:space="preserve">PRIME </w:t>
      </w:r>
      <w:r>
        <w:t>Project Partner</w:t>
      </w:r>
      <w:r w:rsidR="00E70967">
        <w:t xml:space="preserve"> Call Announcement</w:t>
      </w:r>
      <w:r>
        <w:t xml:space="preserve">, as well as Section IV.C "Scored criteria", particularly Criterion II – Mentoring, </w:t>
      </w:r>
      <w:proofErr w:type="spellStart"/>
      <w:r>
        <w:t>Subcriterion</w:t>
      </w:r>
      <w:proofErr w:type="spellEnd"/>
      <w:r>
        <w:t xml:space="preserve"> 3, item (d) of the Call</w:t>
      </w:r>
      <w:r w:rsidR="00E70967">
        <w:t xml:space="preserve"> Announcement</w:t>
      </w:r>
      <w:r>
        <w:t xml:space="preserve">, which states that the evaluation under </w:t>
      </w:r>
      <w:proofErr w:type="spellStart"/>
      <w:r>
        <w:t>Subcriterion</w:t>
      </w:r>
      <w:proofErr w:type="spellEnd"/>
      <w:r>
        <w:t xml:space="preserve"> 3 will consider the quality and diversity of the mentor pool, including:</w:t>
      </w:r>
    </w:p>
    <w:p w14:paraId="67E7D499" w14:textId="21ED31B1" w:rsidR="009E3E29" w:rsidRDefault="00061BCB" w:rsidP="009E3E29">
      <w:r w:rsidRPr="00061BCB">
        <w:rPr>
          <w:i/>
        </w:rPr>
        <w:t>(</w:t>
      </w:r>
      <w:r w:rsidR="009E3E29" w:rsidRPr="00061BCB">
        <w:rPr>
          <w:i/>
        </w:rPr>
        <w:t xml:space="preserve">d) the proportion of mentors from Poland and abroad (a minimum of 75% of the pool </w:t>
      </w:r>
      <w:r w:rsidRPr="00061BCB">
        <w:rPr>
          <w:i/>
        </w:rPr>
        <w:t xml:space="preserve">of mentors </w:t>
      </w:r>
      <w:r w:rsidR="009E3E29" w:rsidRPr="00061BCB">
        <w:rPr>
          <w:i/>
        </w:rPr>
        <w:t>from outside Poland)</w:t>
      </w:r>
      <w:r w:rsidR="009E3E29">
        <w:t>.”</w:t>
      </w:r>
    </w:p>
    <w:p w14:paraId="34BE9FE4" w14:textId="18BF42D3" w:rsidR="009E3E29" w:rsidRDefault="009E3E29" w:rsidP="009E3E29">
      <w:r>
        <w:t>This means that at least 75% of the mentor</w:t>
      </w:r>
      <w:r w:rsidR="00061BCB">
        <w:t>s</w:t>
      </w:r>
      <w:r>
        <w:t xml:space="preserve"> must come from outside Poland or primarily operate outside the territory of Poland. This requirement is also considered fulfilled if 100% of the indicated mentors meet this condition.</w:t>
      </w:r>
    </w:p>
    <w:p w14:paraId="3ACFA914" w14:textId="4FDE5184" w:rsidR="009E3E29" w:rsidRDefault="009E3E29" w:rsidP="009E3E29">
      <w:r>
        <w:t xml:space="preserve">Furthermore, according to Section IV.B "Mandatory conditions for participation in the call", point 1(d) of the Call </w:t>
      </w:r>
      <w:r w:rsidR="00061BCB">
        <w:t>Announcement:</w:t>
      </w:r>
      <w:r>
        <w:t xml:space="preserve"> </w:t>
      </w:r>
      <w:r w:rsidR="00061BCB" w:rsidRPr="00061BCB">
        <w:rPr>
          <w:i/>
        </w:rPr>
        <w:t xml:space="preserve">the Partner candidate has the human resource </w:t>
      </w:r>
      <w:proofErr w:type="spellStart"/>
      <w:r w:rsidR="00061BCB" w:rsidRPr="00061BCB">
        <w:rPr>
          <w:i/>
        </w:rPr>
        <w:t>poten</w:t>
      </w:r>
      <w:proofErr w:type="spellEnd"/>
      <w:r w:rsidR="00061BCB" w:rsidRPr="00061BCB">
        <w:rPr>
          <w:rFonts w:ascii="Calibri" w:eastAsia="Calibri" w:hAnsi="Calibri" w:cs="Calibri" w:hint="eastAsia"/>
          <w:i/>
        </w:rPr>
        <w:t>􀆟</w:t>
      </w:r>
      <w:r w:rsidR="00061BCB" w:rsidRPr="00061BCB">
        <w:rPr>
          <w:i/>
        </w:rPr>
        <w:t xml:space="preserve">al and </w:t>
      </w:r>
      <w:proofErr w:type="spellStart"/>
      <w:r w:rsidR="00061BCB" w:rsidRPr="00061BCB">
        <w:rPr>
          <w:i/>
        </w:rPr>
        <w:t>prac</w:t>
      </w:r>
      <w:proofErr w:type="spellEnd"/>
      <w:r w:rsidR="00061BCB" w:rsidRPr="00061BCB">
        <w:rPr>
          <w:rFonts w:ascii="Calibri" w:eastAsia="Calibri" w:hAnsi="Calibri" w:cs="Calibri" w:hint="eastAsia"/>
          <w:i/>
        </w:rPr>
        <w:t>􀆟</w:t>
      </w:r>
      <w:proofErr w:type="spellStart"/>
      <w:r w:rsidR="00061BCB" w:rsidRPr="00061BCB">
        <w:rPr>
          <w:i/>
        </w:rPr>
        <w:t>cal</w:t>
      </w:r>
      <w:proofErr w:type="spellEnd"/>
      <w:r w:rsidR="00061BCB" w:rsidRPr="00061BCB">
        <w:rPr>
          <w:i/>
        </w:rPr>
        <w:t xml:space="preserve"> experience to design and conduct business mentoring processes for academic teams and academic </w:t>
      </w:r>
      <w:proofErr w:type="spellStart"/>
      <w:r w:rsidR="00061BCB" w:rsidRPr="00061BCB">
        <w:rPr>
          <w:i/>
        </w:rPr>
        <w:t>startups</w:t>
      </w:r>
      <w:proofErr w:type="spellEnd"/>
      <w:r w:rsidR="00061BCB" w:rsidRPr="00061BCB">
        <w:rPr>
          <w:i/>
        </w:rPr>
        <w:t xml:space="preserve"> at an early stage of development with the par</w:t>
      </w:r>
      <w:r w:rsidR="00061BCB" w:rsidRPr="00061BCB">
        <w:rPr>
          <w:rFonts w:ascii="Calibri" w:eastAsia="Calibri" w:hAnsi="Calibri" w:cs="Calibri" w:hint="eastAsia"/>
          <w:i/>
        </w:rPr>
        <w:t>􀆟</w:t>
      </w:r>
      <w:proofErr w:type="spellStart"/>
      <w:r w:rsidR="00061BCB" w:rsidRPr="00061BCB">
        <w:rPr>
          <w:i/>
        </w:rPr>
        <w:t>cipa</w:t>
      </w:r>
      <w:proofErr w:type="spellEnd"/>
      <w:r w:rsidR="00061BCB" w:rsidRPr="00061BCB">
        <w:rPr>
          <w:rFonts w:ascii="Calibri" w:eastAsia="Calibri" w:hAnsi="Calibri" w:cs="Calibri" w:hint="eastAsia"/>
          <w:i/>
        </w:rPr>
        <w:t>􀆟</w:t>
      </w:r>
      <w:r w:rsidR="00061BCB" w:rsidRPr="00061BCB">
        <w:rPr>
          <w:i/>
        </w:rPr>
        <w:t>on of experienced mentors from Poland and abroad (minimum 40)</w:t>
      </w:r>
      <w:r>
        <w:t>.</w:t>
      </w:r>
    </w:p>
    <w:p w14:paraId="4B964586" w14:textId="77F6B2DB" w:rsidR="009E3E29" w:rsidRDefault="009E3E29" w:rsidP="009E3E29">
      <w:r>
        <w:t>This provision establishes a mandatory requirement for the candidate to demonstrate the capacity of at least 40 experienced mentors, originating from both Poland and abroad. However, when evaluating this mandatory criterion, the specific ratio of mentors from Poland vs. abroad is not relevant</w:t>
      </w:r>
      <w:r w:rsidR="00061BCB">
        <w:t xml:space="preserve"> </w:t>
      </w:r>
      <w:r>
        <w:t>—only their total minimum number (40)</w:t>
      </w:r>
      <w:bookmarkStart w:id="3" w:name="_GoBack"/>
      <w:bookmarkEnd w:id="3"/>
      <w:r>
        <w:t xml:space="preserve"> matters.</w:t>
      </w:r>
    </w:p>
    <w:sectPr w:rsidR="009E3E29" w:rsidSect="00EB0AE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4266" w14:textId="77777777" w:rsidR="00F80662" w:rsidRDefault="00F80662" w:rsidP="00F80662">
      <w:pPr>
        <w:spacing w:after="0" w:line="240" w:lineRule="auto"/>
      </w:pPr>
      <w:r>
        <w:separator/>
      </w:r>
    </w:p>
  </w:endnote>
  <w:endnote w:type="continuationSeparator" w:id="0">
    <w:p w14:paraId="28D49C3A" w14:textId="77777777" w:rsidR="00F80662" w:rsidRDefault="00F80662" w:rsidP="00F80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E39F" w14:textId="77777777" w:rsidR="00F80662" w:rsidRDefault="00F806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A06A" w14:textId="77777777" w:rsidR="00F80662" w:rsidRDefault="00F8066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87A4" w14:textId="77777777" w:rsidR="00F80662" w:rsidRDefault="00F806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EB876" w14:textId="77777777" w:rsidR="00F80662" w:rsidRDefault="00F80662" w:rsidP="00F80662">
      <w:pPr>
        <w:spacing w:after="0" w:line="240" w:lineRule="auto"/>
      </w:pPr>
      <w:r>
        <w:separator/>
      </w:r>
    </w:p>
  </w:footnote>
  <w:footnote w:type="continuationSeparator" w:id="0">
    <w:p w14:paraId="1F218F36" w14:textId="77777777" w:rsidR="00F80662" w:rsidRDefault="00F80662" w:rsidP="00F80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EE70" w14:textId="77777777" w:rsidR="00F80662" w:rsidRDefault="00F8066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44E" w14:textId="66449D55" w:rsidR="00F80662" w:rsidRPr="00F80662" w:rsidRDefault="00F80662">
    <w:pPr>
      <w:pStyle w:val="Nagwek"/>
      <w:rPr>
        <w:lang w:val="pl-PL"/>
      </w:rPr>
    </w:pPr>
    <w:r>
      <w:rPr>
        <w:lang w:val="pl-PL"/>
      </w:rPr>
      <w:t xml:space="preserve">1 August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5C7" w14:textId="77777777" w:rsidR="00F80662" w:rsidRDefault="00F8066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3444B"/>
    <w:multiLevelType w:val="hybridMultilevel"/>
    <w:tmpl w:val="52B07BC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2535DA"/>
    <w:multiLevelType w:val="hybridMultilevel"/>
    <w:tmpl w:val="E2962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C56D0A"/>
    <w:multiLevelType w:val="hybridMultilevel"/>
    <w:tmpl w:val="CE229A4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2A"/>
    <w:rsid w:val="00061BCB"/>
    <w:rsid w:val="000B5C27"/>
    <w:rsid w:val="00103370"/>
    <w:rsid w:val="002A74D8"/>
    <w:rsid w:val="002D2338"/>
    <w:rsid w:val="00312883"/>
    <w:rsid w:val="003B1854"/>
    <w:rsid w:val="003F07D7"/>
    <w:rsid w:val="004D30DE"/>
    <w:rsid w:val="00557802"/>
    <w:rsid w:val="00611EBC"/>
    <w:rsid w:val="006927CC"/>
    <w:rsid w:val="00754321"/>
    <w:rsid w:val="00776CBF"/>
    <w:rsid w:val="007A4830"/>
    <w:rsid w:val="007F68F3"/>
    <w:rsid w:val="00883D6B"/>
    <w:rsid w:val="0089662A"/>
    <w:rsid w:val="008C0627"/>
    <w:rsid w:val="008C7CD9"/>
    <w:rsid w:val="00906A74"/>
    <w:rsid w:val="009A0F7D"/>
    <w:rsid w:val="009E3E29"/>
    <w:rsid w:val="009E6822"/>
    <w:rsid w:val="00A36D37"/>
    <w:rsid w:val="00AA1F84"/>
    <w:rsid w:val="00AB340F"/>
    <w:rsid w:val="00AC6230"/>
    <w:rsid w:val="00B336B2"/>
    <w:rsid w:val="00B4673C"/>
    <w:rsid w:val="00C146F3"/>
    <w:rsid w:val="00D243B3"/>
    <w:rsid w:val="00D44D9E"/>
    <w:rsid w:val="00D575DF"/>
    <w:rsid w:val="00D915A8"/>
    <w:rsid w:val="00E046B0"/>
    <w:rsid w:val="00E101AB"/>
    <w:rsid w:val="00E26EA8"/>
    <w:rsid w:val="00E70967"/>
    <w:rsid w:val="00E84DA9"/>
    <w:rsid w:val="00EB0AED"/>
    <w:rsid w:val="00EF68CF"/>
    <w:rsid w:val="00F34463"/>
    <w:rsid w:val="00F80662"/>
    <w:rsid w:val="00F87F83"/>
    <w:rsid w:val="00FB643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ECC3"/>
  <w15:chartTrackingRefBased/>
  <w15:docId w15:val="{A416E194-34F5-4E13-A43E-3C2E60B1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662A"/>
    <w:pPr>
      <w:ind w:left="720"/>
      <w:contextualSpacing/>
    </w:pPr>
  </w:style>
  <w:style w:type="paragraph" w:styleId="Nagwek">
    <w:name w:val="header"/>
    <w:basedOn w:val="Normalny"/>
    <w:link w:val="NagwekZnak"/>
    <w:uiPriority w:val="99"/>
    <w:unhideWhenUsed/>
    <w:rsid w:val="00F806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0662"/>
  </w:style>
  <w:style w:type="paragraph" w:styleId="Stopka">
    <w:name w:val="footer"/>
    <w:basedOn w:val="Normalny"/>
    <w:link w:val="StopkaZnak"/>
    <w:uiPriority w:val="99"/>
    <w:unhideWhenUsed/>
    <w:rsid w:val="00F806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2d6994e-a8f7-4c3f-a9f1-7db173203f65"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A187EB87A48D4D8477F34009871EB1" ma:contentTypeVersion="20" ma:contentTypeDescription="Utwórz nowy dokument." ma:contentTypeScope="" ma:versionID="7766a2660615878967b8addc7cb9cd88">
  <xsd:schema xmlns:xsd="http://www.w3.org/2001/XMLSchema" xmlns:xs="http://www.w3.org/2001/XMLSchema" xmlns:p="http://schemas.microsoft.com/office/2006/metadata/properties" xmlns:ns1="http://schemas.microsoft.com/sharepoint/v3" xmlns:ns3="53045200-d0c7-43f6-8265-a51f930b8256" xmlns:ns4="a2d6994e-a8f7-4c3f-a9f1-7db173203f65" targetNamespace="http://schemas.microsoft.com/office/2006/metadata/properties" ma:root="true" ma:fieldsID="c5281b0a3a256a010631ed81cdd0bff5" ns1:_="" ns3:_="" ns4:_="">
    <xsd:import namespace="http://schemas.microsoft.com/sharepoint/v3"/>
    <xsd:import namespace="53045200-d0c7-43f6-8265-a51f930b8256"/>
    <xsd:import namespace="a2d6994e-a8f7-4c3f-a9f1-7db173203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Właściwości ujednoliconych zasad zgodności" ma:hidden="true" ma:internalName="_ip_UnifiedCompliancePolicyProperties">
      <xsd:simpleType>
        <xsd:restriction base="dms:Note"/>
      </xsd:simpleType>
    </xsd:element>
    <xsd:element name="_ip_UnifiedCompliancePolicyUIAction" ma:index="23"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045200-d0c7-43f6-8265-a51f930b8256"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6994e-a8f7-4c3f-a9f1-7db173203f6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ADB47-EC77-4DF8-B433-726D74A8429B}">
  <ds:schemaRefs>
    <ds:schemaRef ds:uri="http://schemas.microsoft.com/sharepoint/v3/contenttype/forms"/>
  </ds:schemaRefs>
</ds:datastoreItem>
</file>

<file path=customXml/itemProps2.xml><?xml version="1.0" encoding="utf-8"?>
<ds:datastoreItem xmlns:ds="http://schemas.openxmlformats.org/officeDocument/2006/customXml" ds:itemID="{0764A857-F6BA-419A-9D3D-E4F1F4CAA73F}">
  <ds:schemaRefs>
    <ds:schemaRef ds:uri="a2d6994e-a8f7-4c3f-a9f1-7db173203f65"/>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53045200-d0c7-43f6-8265-a51f930b8256"/>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6F6ECFC-5068-4E37-B8BE-AA3425879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045200-d0c7-43f6-8265-a51f930b8256"/>
    <ds:schemaRef ds:uri="a2d6994e-a8f7-4c3f-a9f1-7db173203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1725</Words>
  <Characters>9835</Characters>
  <Application>Microsoft Office Word</Application>
  <DocSecurity>0</DocSecurity>
  <Lines>81</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Pietras</dc:creator>
  <cp:keywords/>
  <dc:description/>
  <cp:lastModifiedBy>Michal Pietras</cp:lastModifiedBy>
  <cp:revision>13</cp:revision>
  <dcterms:created xsi:type="dcterms:W3CDTF">2025-08-01T09:01:00Z</dcterms:created>
  <dcterms:modified xsi:type="dcterms:W3CDTF">2025-08-04T07:10:00Z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0x010100F6A187EB87A48D4D8477F34009871EB1</vt:lpwstr>
  </property>
</Properties>
</file>