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2732" w14:textId="267A417C" w:rsidR="0029426D" w:rsidRPr="00B61A10" w:rsidRDefault="003A4D26" w:rsidP="00CF567D">
      <w:pPr>
        <w:spacing w:line="276" w:lineRule="auto"/>
        <w:rPr>
          <w:rFonts w:ascii="Calibri" w:hAnsi="Calibri" w:cs="Calibri"/>
          <w:i/>
          <w:iCs/>
          <w:sz w:val="14"/>
          <w:szCs w:val="14"/>
        </w:rPr>
      </w:pPr>
      <w:r>
        <w:rPr>
          <w:rFonts w:ascii="Calibri" w:hAnsi="Calibri" w:cs="Calibri"/>
          <w:i/>
          <w:iCs/>
          <w:sz w:val="14"/>
          <w:szCs w:val="14"/>
        </w:rPr>
        <w:t>21</w:t>
      </w:r>
      <w:r w:rsidR="00356572" w:rsidRPr="00B61A10">
        <w:rPr>
          <w:rFonts w:ascii="Calibri" w:hAnsi="Calibri" w:cs="Calibri"/>
          <w:i/>
          <w:iCs/>
          <w:sz w:val="14"/>
          <w:szCs w:val="14"/>
        </w:rPr>
        <w:t xml:space="preserve"> </w:t>
      </w:r>
      <w:r w:rsidR="005060CD" w:rsidRPr="00B61A10">
        <w:rPr>
          <w:rFonts w:ascii="Calibri" w:hAnsi="Calibri" w:cs="Calibri"/>
          <w:i/>
          <w:iCs/>
          <w:sz w:val="14"/>
          <w:szCs w:val="14"/>
        </w:rPr>
        <w:t>kwietnia</w:t>
      </w:r>
      <w:r w:rsidR="00356572" w:rsidRPr="00B61A10">
        <w:rPr>
          <w:rFonts w:ascii="Calibri" w:hAnsi="Calibri" w:cs="Calibri"/>
          <w:i/>
          <w:iCs/>
          <w:sz w:val="14"/>
          <w:szCs w:val="14"/>
        </w:rPr>
        <w:t xml:space="preserve"> 2026, Warszawa</w:t>
      </w:r>
      <w:r w:rsidR="0029426D" w:rsidRPr="00B61A10">
        <w:rPr>
          <w:rFonts w:ascii="Calibri" w:hAnsi="Calibri" w:cs="Calibri"/>
          <w:i/>
          <w:iCs/>
          <w:sz w:val="14"/>
          <w:szCs w:val="14"/>
        </w:rPr>
        <w:br/>
        <w:t>Informacja prasowa</w:t>
      </w:r>
    </w:p>
    <w:p w14:paraId="63F202A6" w14:textId="77777777" w:rsidR="003A4D26" w:rsidRPr="003A4D26" w:rsidRDefault="003A4D26" w:rsidP="003A4D26">
      <w:pPr>
        <w:spacing w:line="276" w:lineRule="auto"/>
        <w:jc w:val="both"/>
        <w:rPr>
          <w:rFonts w:ascii="Calibri" w:eastAsia="Aptos" w:hAnsi="Calibri" w:cs="Calibri"/>
          <w:b/>
          <w:bCs/>
          <w:szCs w:val="22"/>
        </w:rPr>
      </w:pPr>
      <w:r w:rsidRPr="003A4D26">
        <w:rPr>
          <w:rFonts w:ascii="Calibri" w:eastAsia="Aptos" w:hAnsi="Calibri" w:cs="Calibri"/>
          <w:b/>
          <w:bCs/>
          <w:szCs w:val="22"/>
        </w:rPr>
        <w:t>Ziemia potrzebuje detoksu, a my jedzenia bez chemii – polscy naukowcy z projektem na Dzień Ziemi</w:t>
      </w:r>
    </w:p>
    <w:p w14:paraId="4DD56E02" w14:textId="2F70782E" w:rsidR="00660B8B" w:rsidRDefault="005060CD" w:rsidP="00CF567D">
      <w:pPr>
        <w:spacing w:line="276" w:lineRule="auto"/>
        <w:jc w:val="both"/>
        <w:rPr>
          <w:rFonts w:ascii="Calibri" w:hAnsi="Calibri" w:cs="Calibri"/>
          <w:szCs w:val="22"/>
        </w:rPr>
      </w:pPr>
      <w:r w:rsidRPr="00B61A10">
        <w:rPr>
          <w:rFonts w:ascii="Calibri" w:eastAsia="Aptos" w:hAnsi="Calibri" w:cs="Calibri"/>
          <w:b/>
          <w:bCs/>
          <w:szCs w:val="22"/>
        </w:rPr>
        <w:t xml:space="preserve">Z okazji Dnia Ziemi warto spojrzeć nie tylko na powietrze, wodę i klimat, ale też na glebę </w:t>
      </w:r>
      <w:r w:rsidR="00B61A10" w:rsidRPr="00B61A10">
        <w:rPr>
          <w:rFonts w:ascii="Calibri" w:eastAsia="Aptos" w:hAnsi="Calibri" w:cs="Calibri"/>
          <w:b/>
          <w:bCs/>
          <w:szCs w:val="22"/>
        </w:rPr>
        <w:t xml:space="preserve">– </w:t>
      </w:r>
      <w:r w:rsidRPr="00B61A10">
        <w:rPr>
          <w:rFonts w:ascii="Calibri" w:eastAsia="Aptos" w:hAnsi="Calibri" w:cs="Calibri"/>
          <w:b/>
          <w:bCs/>
          <w:szCs w:val="22"/>
        </w:rPr>
        <w:t>bo to od jej kondycji zależy jakość żywności, bezpieczeństwo środowiskowe i stabilność produkcji rolnej. Zespół kierowany przez prof. Łukasza Drewniaka w projekcie BIOGLOBE pracuje nad biologicznymi rozwiązaniami, które mają pomagać glebie odzyskać równowagę po latach intensywnej uprawy i</w:t>
      </w:r>
      <w:r w:rsidR="00B61A10" w:rsidRPr="00B61A10">
        <w:rPr>
          <w:rFonts w:ascii="Calibri" w:eastAsia="Aptos" w:hAnsi="Calibri" w:cs="Calibri"/>
          <w:b/>
          <w:bCs/>
          <w:szCs w:val="22"/>
        </w:rPr>
        <w:t> </w:t>
      </w:r>
      <w:r w:rsidRPr="00B61A10">
        <w:rPr>
          <w:rFonts w:ascii="Calibri" w:eastAsia="Aptos" w:hAnsi="Calibri" w:cs="Calibri"/>
          <w:b/>
          <w:bCs/>
          <w:szCs w:val="22"/>
        </w:rPr>
        <w:t>stosowania środków ochrony roślin. Projekt realizowany na Uniwersytecie Warszawskim otrzymał ponad 12,</w:t>
      </w:r>
      <w:r w:rsidR="00753F23">
        <w:rPr>
          <w:rFonts w:ascii="Calibri" w:eastAsia="Aptos" w:hAnsi="Calibri" w:cs="Calibri"/>
          <w:b/>
          <w:bCs/>
          <w:szCs w:val="22"/>
        </w:rPr>
        <w:t>5</w:t>
      </w:r>
      <w:r w:rsidR="00800B4E" w:rsidRPr="00B61A10">
        <w:rPr>
          <w:rFonts w:ascii="Calibri" w:eastAsia="Aptos" w:hAnsi="Calibri" w:cs="Calibri"/>
          <w:b/>
          <w:bCs/>
          <w:szCs w:val="22"/>
        </w:rPr>
        <w:t xml:space="preserve"> </w:t>
      </w:r>
      <w:r w:rsidRPr="00B61A10">
        <w:rPr>
          <w:rFonts w:ascii="Calibri" w:eastAsia="Aptos" w:hAnsi="Calibri" w:cs="Calibri"/>
          <w:b/>
          <w:bCs/>
          <w:szCs w:val="22"/>
        </w:rPr>
        <w:t xml:space="preserve">mln zł wsparcia </w:t>
      </w:r>
      <w:r w:rsidR="002F2F96">
        <w:rPr>
          <w:rFonts w:ascii="Calibri" w:eastAsia="Aptos" w:hAnsi="Calibri" w:cs="Calibri"/>
          <w:b/>
          <w:bCs/>
          <w:szCs w:val="22"/>
        </w:rPr>
        <w:t xml:space="preserve">z Funduszy Europejskich dla Nowoczesnej Gospodarki. Środki przyznała Fundacja na rzecz Nauki Polskiej w ramach działania TEAM NET. </w:t>
      </w:r>
    </w:p>
    <w:p w14:paraId="2727B205" w14:textId="77777777" w:rsidR="001B23F2" w:rsidRDefault="005060CD" w:rsidP="00CF567D">
      <w:pPr>
        <w:spacing w:line="276" w:lineRule="auto"/>
        <w:jc w:val="both"/>
        <w:rPr>
          <w:rFonts w:ascii="Calibri" w:hAnsi="Calibri" w:cs="Calibri"/>
          <w:szCs w:val="22"/>
        </w:rPr>
      </w:pPr>
      <w:r w:rsidRPr="00B61A10">
        <w:rPr>
          <w:rFonts w:ascii="Calibri" w:hAnsi="Calibri" w:cs="Calibri"/>
          <w:szCs w:val="22"/>
        </w:rPr>
        <w:t xml:space="preserve">Choć o glebie mówi się znacznie rzadziej niż o klimacie czy jakości powietrza, to właśnie ona pozostaje jednym z fundamentów zdrowego środowiska i bezpiecznej produkcji żywności. Lata intensywnej uprawy oraz długotrwałego stosowania herbicydów </w:t>
      </w:r>
      <w:r w:rsidR="00B61A10" w:rsidRPr="00B61A10">
        <w:rPr>
          <w:rFonts w:ascii="Calibri" w:hAnsi="Calibri" w:cs="Calibri"/>
          <w:szCs w:val="22"/>
        </w:rPr>
        <w:t>i różnorodnych</w:t>
      </w:r>
      <w:r w:rsidR="00800B4E" w:rsidRPr="00B61A10">
        <w:rPr>
          <w:rFonts w:ascii="Calibri" w:hAnsi="Calibri" w:cs="Calibri"/>
          <w:szCs w:val="22"/>
        </w:rPr>
        <w:t xml:space="preserve"> </w:t>
      </w:r>
      <w:r w:rsidRPr="00B61A10">
        <w:rPr>
          <w:rFonts w:ascii="Calibri" w:hAnsi="Calibri" w:cs="Calibri"/>
          <w:szCs w:val="22"/>
        </w:rPr>
        <w:t>środków ochrony roślin mogą osłabiać jej naturalną równowagę biologiczną, a to z czasem odbija się zarówno na plonach, jak i na jakości całego ekosystemu. Dlatego naukowcy szukają rozwiązań, które pozwolą odbudować aktywność biologiczną gleby i ograniczyć skutki jej chemicznego obciążenia. Jednym z nich jest projekt BIOGLOBE, realizowany przez konsorcjum, którego liderem jest Uniwersytet Warszawski.</w:t>
      </w:r>
      <w:r w:rsidR="001B23F2">
        <w:rPr>
          <w:rFonts w:ascii="Calibri" w:hAnsi="Calibri" w:cs="Calibri"/>
          <w:szCs w:val="22"/>
        </w:rPr>
        <w:t xml:space="preserve"> </w:t>
      </w:r>
      <w:r w:rsidR="001B23F2" w:rsidRPr="001B23F2">
        <w:rPr>
          <w:rFonts w:ascii="Calibri" w:hAnsi="Calibri" w:cs="Calibri"/>
          <w:szCs w:val="22"/>
        </w:rPr>
        <w:t>Zespół pracuje nad dwoma uzupełniającymi się rozwiązaniami: preparatem opartym na lokalnych mikroorganizmach glebowych oraz biostymulatorem pobudzającym aktywność biologiczną gleby i wzmacniającym rośliny</w:t>
      </w:r>
      <w:r w:rsidR="001B23F2">
        <w:rPr>
          <w:rFonts w:ascii="Calibri" w:hAnsi="Calibri" w:cs="Calibri"/>
          <w:szCs w:val="22"/>
        </w:rPr>
        <w:t xml:space="preserve">. </w:t>
      </w:r>
    </w:p>
    <w:p w14:paraId="31387F1F" w14:textId="6C056CB1"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 xml:space="preserve">Jak podkreśla prof. Łukasz Drewniak, dr hab. nauk biologicznych, profesor Instytutu </w:t>
      </w:r>
      <w:r w:rsidR="00800B4E" w:rsidRPr="00B61A10">
        <w:rPr>
          <w:rFonts w:ascii="Calibri" w:hAnsi="Calibri" w:cs="Calibri"/>
          <w:szCs w:val="22"/>
        </w:rPr>
        <w:t>Bioinżynierii</w:t>
      </w:r>
      <w:r w:rsidRPr="00B61A10">
        <w:rPr>
          <w:rFonts w:ascii="Calibri" w:hAnsi="Calibri" w:cs="Calibri"/>
          <w:szCs w:val="22"/>
        </w:rPr>
        <w:t xml:space="preserve"> Wydziału Biologii Uniwersytetu Warszawskiego, stan gleby powinien interesować każdego z nas.</w:t>
      </w:r>
      <w:r w:rsidRPr="00B61A10">
        <w:rPr>
          <w:rFonts w:ascii="Calibri" w:hAnsi="Calibri" w:cs="Calibri"/>
          <w:szCs w:val="22"/>
        </w:rPr>
        <w:br/>
      </w:r>
      <w:r w:rsidRPr="00B61A10">
        <w:rPr>
          <w:rFonts w:ascii="Calibri" w:hAnsi="Calibri" w:cs="Calibri"/>
          <w:szCs w:val="22"/>
        </w:rPr>
        <w:br/>
        <w:t>– Gleba to podłoże, w którym produkowana jest żywność, z której korzystamy. I to powinno być dla nas niezwykle ważne. Z jednej strony liczy się poziom zanieczyszczenia, bo część tych związków może być przenoszona przez rośliny, a później trafiać dalej w łańcuchu pokarmowym. Z drugiej strony im więcej mamy biologicznie aktywnej, dobrej jakości powierzchni, na której można produkować żywność, tym lepiej dla nas wszystkich – mówi prof. Drewniak.</w:t>
      </w:r>
    </w:p>
    <w:p w14:paraId="4A1D5C59" w14:textId="77777777" w:rsidR="00CF567D" w:rsidRPr="00B61A10" w:rsidRDefault="005060CD" w:rsidP="00CF567D">
      <w:pPr>
        <w:spacing w:line="276" w:lineRule="auto"/>
        <w:jc w:val="both"/>
        <w:rPr>
          <w:rFonts w:ascii="Calibri" w:hAnsi="Calibri" w:cs="Calibri"/>
          <w:szCs w:val="22"/>
        </w:rPr>
      </w:pPr>
      <w:r w:rsidRPr="00B61A10">
        <w:rPr>
          <w:rFonts w:ascii="Calibri" w:eastAsia="Aptos" w:hAnsi="Calibri" w:cs="Calibri"/>
          <w:b/>
          <w:bCs/>
          <w:szCs w:val="22"/>
        </w:rPr>
        <w:t>Gdy chemia osłabia glebę</w:t>
      </w:r>
    </w:p>
    <w:p w14:paraId="0C6E7237"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Gleba jest żywym ekosystemem, w którym funkcjonują ogromne społeczności mikroorganizmów wspierających rozwój roślin. To one pomagają utrzymywać równowagę biologiczną, uczestniczą w obiegu składników pokarmowych i wpływają na odporność upraw. Problem pojawia się wtedy, gdy przez wiele sezonów gleba jest narażona na silną presję środków chemicznych.</w:t>
      </w:r>
    </w:p>
    <w:p w14:paraId="254DAC66" w14:textId="77777777" w:rsidR="00B61A10" w:rsidRDefault="00B61A10">
      <w:pPr>
        <w:spacing w:after="0"/>
        <w:rPr>
          <w:rFonts w:ascii="Calibri" w:hAnsi="Calibri" w:cs="Calibri"/>
          <w:szCs w:val="22"/>
        </w:rPr>
      </w:pPr>
      <w:r>
        <w:rPr>
          <w:rFonts w:ascii="Calibri" w:hAnsi="Calibri" w:cs="Calibri"/>
          <w:szCs w:val="22"/>
        </w:rPr>
        <w:br w:type="page"/>
      </w:r>
    </w:p>
    <w:p w14:paraId="64D15A3F" w14:textId="5FC86168"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lastRenderedPageBreak/>
        <w:t>– Gleba to ekosystem, w którym mamy bardzo dużo różnych pożytecznych mikroorganizmów wspierających rozwój roślin. Jeżeli stosujemy dużo agrochemikaliów, to zaburzamy ten układ. Można to porównać do bakterii w jelitach człowieka. Jeżeli zniszczymy ich naturalną równowagę, cały organizm zaczyna funkcjonować gorzej. W przypadku gleby jest podobnie – kiedy osłabiamy jej mikrobiom ciężką chemią, musimy później ten ekosystem odnawiać – wyjaśnia naukowiec.</w:t>
      </w:r>
    </w:p>
    <w:p w14:paraId="54850101"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Jak dodaje, skutki intensywnej chemizacji mogą obejmować pogorszenie struktury gleby, spadek zawartości materii organicznej, większą podatność na erozję oraz ryzyko przemieszczania się pozostałości środków chemicznych do wód gruntowych.</w:t>
      </w:r>
    </w:p>
    <w:p w14:paraId="77540922" w14:textId="77777777" w:rsidR="00CF567D" w:rsidRPr="00B61A10" w:rsidRDefault="005060CD" w:rsidP="00CF567D">
      <w:pPr>
        <w:spacing w:line="276" w:lineRule="auto"/>
        <w:jc w:val="both"/>
        <w:rPr>
          <w:rFonts w:ascii="Calibri" w:hAnsi="Calibri" w:cs="Calibri"/>
          <w:szCs w:val="22"/>
        </w:rPr>
      </w:pPr>
      <w:r w:rsidRPr="00B61A10">
        <w:rPr>
          <w:rFonts w:ascii="Calibri" w:eastAsia="Aptos" w:hAnsi="Calibri" w:cs="Calibri"/>
          <w:b/>
          <w:bCs/>
          <w:szCs w:val="22"/>
        </w:rPr>
        <w:t>BIOGLOBE: odbudowa gleby z pomocą mikroorganizmów</w:t>
      </w:r>
    </w:p>
    <w:p w14:paraId="7BEF5916"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Na te wyzwania odpowiada projekt BIOGLOBE, realizowany przez konsorcjum</w:t>
      </w:r>
      <w:r w:rsidR="00CF567D" w:rsidRPr="00B61A10">
        <w:rPr>
          <w:rFonts w:ascii="Calibri" w:hAnsi="Calibri" w:cs="Calibri"/>
          <w:szCs w:val="22"/>
        </w:rPr>
        <w:t xml:space="preserve"> </w:t>
      </w:r>
      <w:r w:rsidR="00CF567D" w:rsidRPr="00B61A10">
        <w:rPr>
          <w:rFonts w:ascii="Calibri" w:eastAsia="Aptos" w:hAnsi="Calibri" w:cs="Calibri"/>
          <w:szCs w:val="22"/>
        </w:rPr>
        <w:t>IUNG-PIB i Politechniki Poznańskiej</w:t>
      </w:r>
      <w:r w:rsidRPr="00B61A10">
        <w:rPr>
          <w:rFonts w:ascii="Calibri" w:hAnsi="Calibri" w:cs="Calibri"/>
          <w:szCs w:val="22"/>
        </w:rPr>
        <w:t>, którego liderem jest Uniwersytet Warszawski. Naukowcy pracują nad biologicznymi metodami wspierania gleb obciążonych intensywną produkcją rolną. Celem projektu jest ograniczenie skutków nagromadzenia pozostałości herbicydów, odbudowa mikrobiologicznej równowagi gleby oraz wzmacnianie roślin narażonych na stres środowiskowy. Kluczową rolę mają tu odegrać mikroorganizmy już obecne w glebie, wyselekcjonowane pod kątem zdolności do rozkładu pozostałości herbicydów i jednoczesnego wspierania wzrostu roślin.</w:t>
      </w:r>
    </w:p>
    <w:p w14:paraId="1047BFEE"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 xml:space="preserve">– Wykorzystujemy mikroorganizmy, które już są w tej glebie i które zdążyły się przystosować do obecnych tam zanieczyszczeń. Wybieramy te, które potrafią rozkładać </w:t>
      </w:r>
      <w:r w:rsidR="00800B4E" w:rsidRPr="00B61A10">
        <w:rPr>
          <w:rFonts w:ascii="Calibri" w:hAnsi="Calibri" w:cs="Calibri"/>
          <w:szCs w:val="22"/>
        </w:rPr>
        <w:t>herbicydy i ich pochodne pozostające w glebie</w:t>
      </w:r>
      <w:r w:rsidRPr="00B61A10">
        <w:rPr>
          <w:rFonts w:ascii="Calibri" w:hAnsi="Calibri" w:cs="Calibri"/>
          <w:szCs w:val="22"/>
        </w:rPr>
        <w:t>, a jednocześnie wzmacniamy ich liczebność. W praktyce przywracamy więc aktywność biologiczną tam, gdzie została ona wcześniej osłabiona – tłumaczy ekspert.</w:t>
      </w:r>
    </w:p>
    <w:p w14:paraId="78D670F8" w14:textId="77777777" w:rsidR="00CF567D" w:rsidRPr="00B61A10" w:rsidRDefault="005060CD" w:rsidP="00CF567D">
      <w:pPr>
        <w:spacing w:line="276" w:lineRule="auto"/>
        <w:jc w:val="both"/>
        <w:rPr>
          <w:rFonts w:ascii="Calibri" w:hAnsi="Calibri" w:cs="Calibri"/>
          <w:szCs w:val="22"/>
        </w:rPr>
      </w:pPr>
      <w:r w:rsidRPr="00B61A10">
        <w:rPr>
          <w:rFonts w:ascii="Calibri" w:eastAsia="Aptos" w:hAnsi="Calibri" w:cs="Calibri"/>
          <w:b/>
          <w:bCs/>
          <w:szCs w:val="22"/>
        </w:rPr>
        <w:t>Zdrowsza gleba to zdrowsza żywność</w:t>
      </w:r>
    </w:p>
    <w:p w14:paraId="7C415F57"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Jednym z najważniejszych efektów, jakie projekt może przynieść w przyszłości, jest poprawa jakości żywności i ograniczenie presji chemicznej w rolnictwie. Odbudowa równowagi biologicznej gleby może pomóc zarówno w zmniejszaniu akumulacji pozostałości chemicznych, jak i w ograniczaniu zapotrzebowania na część środków wykorzystywanych w produkcji rolnej.</w:t>
      </w:r>
    </w:p>
    <w:p w14:paraId="123FFA6E"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 Żywność będzie zdrowsza, dlatego że wyeliminujemy efekt akumulacji zanieczyszczeń i zmniejszymy ich poziom. Naszą ambicją jest też wielofunkcyjność tych rozwiązań: z jednej strony pozbywamy się starych zanieczyszczeń, z drugiej wprowadzamy mikroorganizmy, które mogą działać jako wspomagacz albo częściowy substytut nawożenia. Dzięki temu możemy ograniczać liczbę nawozów i środków ochrony roślin w środowisku – zaznacza prof. Drewniak.</w:t>
      </w:r>
    </w:p>
    <w:p w14:paraId="6930329A" w14:textId="77777777" w:rsidR="00CF567D" w:rsidRPr="00B61A10" w:rsidRDefault="005060CD" w:rsidP="00CF567D">
      <w:pPr>
        <w:spacing w:line="276" w:lineRule="auto"/>
        <w:jc w:val="both"/>
        <w:rPr>
          <w:rFonts w:ascii="Calibri" w:hAnsi="Calibri" w:cs="Calibri"/>
          <w:szCs w:val="22"/>
        </w:rPr>
      </w:pPr>
      <w:r w:rsidRPr="00B61A10">
        <w:rPr>
          <w:rFonts w:ascii="Calibri" w:eastAsia="Aptos" w:hAnsi="Calibri" w:cs="Calibri"/>
          <w:b/>
          <w:bCs/>
          <w:szCs w:val="22"/>
        </w:rPr>
        <w:t>Rozwiązanie testowane w różnych warunkach</w:t>
      </w:r>
    </w:p>
    <w:p w14:paraId="7AEB8B98"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t xml:space="preserve">Projekt BIOGLOBE nie zakończy się na badaniach laboratoryjnych. Rozwiązania będą testowane </w:t>
      </w:r>
      <w:r w:rsidR="00800B4E" w:rsidRPr="00B61A10">
        <w:rPr>
          <w:rFonts w:ascii="Calibri" w:hAnsi="Calibri" w:cs="Calibri"/>
          <w:szCs w:val="22"/>
        </w:rPr>
        <w:t xml:space="preserve">na poletkach doświadczalnych w </w:t>
      </w:r>
      <w:r w:rsidRPr="00B61A10">
        <w:rPr>
          <w:rFonts w:ascii="Calibri" w:hAnsi="Calibri" w:cs="Calibri"/>
          <w:szCs w:val="22"/>
        </w:rPr>
        <w:t>Polsce, Hiszpanii i Peru, aby sprawdzić ich skuteczność w różnych warunkach klimatycznych i glebowych oraz przy różnej skali obciążenia chemicznego.</w:t>
      </w:r>
    </w:p>
    <w:p w14:paraId="565B092D" w14:textId="77777777" w:rsidR="00CF567D" w:rsidRPr="00B61A10" w:rsidRDefault="005060CD" w:rsidP="00CF567D">
      <w:pPr>
        <w:spacing w:line="276" w:lineRule="auto"/>
        <w:jc w:val="both"/>
        <w:rPr>
          <w:rFonts w:ascii="Calibri" w:hAnsi="Calibri" w:cs="Calibri"/>
          <w:szCs w:val="22"/>
        </w:rPr>
      </w:pPr>
      <w:r w:rsidRPr="00B61A10">
        <w:rPr>
          <w:rFonts w:ascii="Calibri" w:hAnsi="Calibri" w:cs="Calibri"/>
          <w:szCs w:val="22"/>
        </w:rPr>
        <w:lastRenderedPageBreak/>
        <w:t>– Chcemy testować rozwiązanie w Polsce, w Hiszpanii i w Peru, ponieważ zależy nam na sprawdzeniu skuteczności w różnych strefach klimatycznych i przy różnej presji związanej ze stosowaniem środków chemicznych. Taki model badań pozwala nam od początku myśleć o realnym wdrożeniu, nie tylko lokalnym, ale docelowo także globalnym – mówi prof. Drewniak.</w:t>
      </w:r>
    </w:p>
    <w:p w14:paraId="1506426F" w14:textId="7B710166" w:rsidR="005060CD" w:rsidRPr="00B61A10" w:rsidRDefault="005060CD" w:rsidP="00CF567D">
      <w:pPr>
        <w:spacing w:line="276" w:lineRule="auto"/>
        <w:jc w:val="both"/>
        <w:rPr>
          <w:rFonts w:ascii="Calibri" w:hAnsi="Calibri" w:cs="Calibri"/>
          <w:szCs w:val="22"/>
        </w:rPr>
      </w:pPr>
      <w:r w:rsidRPr="00B61A10">
        <w:rPr>
          <w:rFonts w:ascii="Calibri" w:hAnsi="Calibri" w:cs="Calibri"/>
          <w:szCs w:val="22"/>
        </w:rPr>
        <w:t>Projekt wpisuje się w kierunek rozwoju rolnictwa regeneracyjnego, które szuka sposobów na przywracanie życia glebie i ograniczanie środowiskowych kosztów intensywnej produkcji. Właśnie dlatego z okazji Dnia Ziemi BIOGLOBE staje się przykładem tego, jak nauka może wspierać nie tylko rolnictwo, ale też zdrowie środowiska</w:t>
      </w:r>
      <w:r w:rsidR="00B61A10" w:rsidRPr="00B61A10">
        <w:rPr>
          <w:rFonts w:ascii="Calibri" w:hAnsi="Calibri" w:cs="Calibri"/>
          <w:szCs w:val="22"/>
        </w:rPr>
        <w:t xml:space="preserve"> i bezpieczeństwo żywnościowe.</w:t>
      </w:r>
    </w:p>
    <w:p w14:paraId="53C16E4A" w14:textId="77777777" w:rsidR="00B61A10" w:rsidRPr="00B61A10" w:rsidRDefault="00B61A10" w:rsidP="00CF567D">
      <w:pPr>
        <w:spacing w:after="120" w:line="276" w:lineRule="auto"/>
        <w:jc w:val="both"/>
        <w:rPr>
          <w:rFonts w:ascii="Calibri" w:hAnsi="Calibri" w:cs="Calibri"/>
          <w:b/>
          <w:bCs/>
          <w:szCs w:val="22"/>
        </w:rPr>
      </w:pPr>
    </w:p>
    <w:p w14:paraId="2A5D8930" w14:textId="2F907411" w:rsidR="001828F2" w:rsidRPr="00B61A10" w:rsidRDefault="001828F2" w:rsidP="00CF567D">
      <w:pPr>
        <w:spacing w:after="120" w:line="276" w:lineRule="auto"/>
        <w:jc w:val="both"/>
        <w:rPr>
          <w:rFonts w:ascii="Calibri" w:hAnsi="Calibri" w:cs="Calibri"/>
          <w:b/>
          <w:bCs/>
          <w:szCs w:val="22"/>
        </w:rPr>
      </w:pPr>
      <w:r w:rsidRPr="00B61A10">
        <w:rPr>
          <w:rFonts w:ascii="Calibri" w:hAnsi="Calibri" w:cs="Calibri"/>
          <w:b/>
          <w:bCs/>
          <w:szCs w:val="22"/>
        </w:rPr>
        <w:t>***</w:t>
      </w:r>
    </w:p>
    <w:p w14:paraId="6164B321" w14:textId="77777777" w:rsidR="001828F2" w:rsidRPr="00B61A10" w:rsidRDefault="001828F2" w:rsidP="00CF567D">
      <w:pPr>
        <w:spacing w:after="120" w:line="276" w:lineRule="auto"/>
        <w:jc w:val="both"/>
        <w:rPr>
          <w:rFonts w:ascii="Calibri" w:hAnsi="Calibri" w:cs="Calibri"/>
          <w:szCs w:val="22"/>
        </w:rPr>
      </w:pPr>
      <w:r w:rsidRPr="00B61A10">
        <w:rPr>
          <w:rFonts w:ascii="Calibri" w:hAnsi="Calibri" w:cs="Calibri"/>
          <w:b/>
          <w:bCs/>
          <w:szCs w:val="22"/>
        </w:rPr>
        <w:t>Kontakt prasowy:</w:t>
      </w:r>
    </w:p>
    <w:p w14:paraId="227F040F" w14:textId="3F4E07DD" w:rsidR="005060CD" w:rsidRPr="00B61A10" w:rsidRDefault="001828F2" w:rsidP="00CF567D">
      <w:pPr>
        <w:spacing w:after="120" w:line="276" w:lineRule="auto"/>
        <w:jc w:val="both"/>
        <w:rPr>
          <w:rFonts w:ascii="Calibri" w:hAnsi="Calibri" w:cs="Calibri"/>
          <w:szCs w:val="22"/>
        </w:rPr>
      </w:pPr>
      <w:r w:rsidRPr="00B61A10">
        <w:rPr>
          <w:rFonts w:ascii="Calibri" w:hAnsi="Calibri" w:cs="Calibri"/>
          <w:szCs w:val="22"/>
        </w:rPr>
        <w:t>Dominika Wojtysiak-Łańska, Fundacja na rzecz Nauki Polskiej: tel. 698 931 944, </w:t>
      </w:r>
      <w:hyperlink r:id="rId8" w:history="1">
        <w:r w:rsidRPr="00B61A10">
          <w:rPr>
            <w:rStyle w:val="Hipercze"/>
            <w:rFonts w:ascii="Calibri" w:hAnsi="Calibri" w:cs="Calibri"/>
            <w:szCs w:val="22"/>
          </w:rPr>
          <w:t>wojtysiak@fnp.org.pl</w:t>
        </w:r>
      </w:hyperlink>
    </w:p>
    <w:p w14:paraId="13103B0B" w14:textId="77777777" w:rsidR="00B61A10" w:rsidRDefault="00B61A10" w:rsidP="00B61A10">
      <w:pPr>
        <w:spacing w:after="120" w:line="276" w:lineRule="auto"/>
        <w:jc w:val="both"/>
        <w:rPr>
          <w:rFonts w:ascii="Calibri" w:hAnsi="Calibri" w:cs="Calibri"/>
          <w:b/>
          <w:bCs/>
          <w:szCs w:val="22"/>
        </w:rPr>
      </w:pPr>
    </w:p>
    <w:p w14:paraId="49D110BF" w14:textId="77777777" w:rsidR="002F2F96" w:rsidRPr="002F2F96" w:rsidRDefault="002F2F96" w:rsidP="002F2F96">
      <w:pPr>
        <w:spacing w:after="120" w:line="276" w:lineRule="auto"/>
        <w:jc w:val="both"/>
        <w:rPr>
          <w:rFonts w:ascii="Calibri" w:hAnsi="Calibri" w:cs="Calibri"/>
          <w:b/>
          <w:bCs/>
          <w:szCs w:val="22"/>
        </w:rPr>
      </w:pPr>
      <w:r w:rsidRPr="002F2F96">
        <w:rPr>
          <w:rFonts w:ascii="Calibri" w:hAnsi="Calibri" w:cs="Calibri"/>
          <w:b/>
          <w:bCs/>
          <w:szCs w:val="22"/>
        </w:rPr>
        <w:t>O działaniu TEAM NET</w:t>
      </w:r>
    </w:p>
    <w:p w14:paraId="747C5D74" w14:textId="77777777" w:rsidR="002F2F96" w:rsidRPr="002F2F96" w:rsidRDefault="002F2F96" w:rsidP="002F2F96">
      <w:pPr>
        <w:spacing w:after="120" w:line="276" w:lineRule="auto"/>
        <w:jc w:val="both"/>
        <w:rPr>
          <w:rFonts w:ascii="Calibri" w:hAnsi="Calibri" w:cs="Calibri"/>
          <w:szCs w:val="22"/>
        </w:rPr>
      </w:pPr>
      <w:r w:rsidRPr="002F2F96">
        <w:rPr>
          <w:rFonts w:ascii="Calibri" w:hAnsi="Calibri" w:cs="Calibri"/>
          <w:szCs w:val="22"/>
        </w:rPr>
        <w:t xml:space="preserve">Działanie TEAM NET jest realizowane przez Fundację na rzecz Nauki Polskiej ze środków z programu Fundusze Europejskie dla Nowoczesnej Gospodarki (FENG). TEAM NET FENG oferuje finansowanie na projekty B+R dotyczące zdrowia, środowiska i przemysłu 4.0, zdefiniowanych jako obszary o strategicznym znaczeniu gospodarczym. Projekty mają być realizowane przez konsorcja złożone z dwóch lub trzech zespołów z różnych organizacji badawczych. Efektem prac ma być opracowanie innowacyjnego i konkurencyjnego na rynku rozwiązania oraz skuteczny transfer wiedzy lub technologii. Wysokość dotacji wynosi od ponad 8 mln zł do ponad 12 mln zł na jeden projekt trwający do trzech lat. Łączny budżet działania TEAM NET FENG to 178 mln zł do 2029 roku.  </w:t>
      </w:r>
    </w:p>
    <w:p w14:paraId="637EE9A6" w14:textId="2FDB81D3" w:rsidR="00CF567D" w:rsidRPr="00B61A10" w:rsidRDefault="001828F2" w:rsidP="00B61A10">
      <w:pPr>
        <w:spacing w:after="120" w:line="276" w:lineRule="auto"/>
        <w:jc w:val="both"/>
        <w:rPr>
          <w:rFonts w:ascii="Calibri" w:hAnsi="Calibri" w:cs="Calibri"/>
          <w:szCs w:val="22"/>
        </w:rPr>
      </w:pPr>
      <w:r w:rsidRPr="00B61A10">
        <w:rPr>
          <w:rFonts w:ascii="Calibri" w:hAnsi="Calibri" w:cs="Calibri"/>
          <w:b/>
          <w:bCs/>
          <w:szCs w:val="22"/>
        </w:rPr>
        <w:t>Fundacja na rzecz Nauki Polskiej</w:t>
      </w:r>
      <w:r w:rsidRPr="00B61A10">
        <w:rPr>
          <w:rFonts w:ascii="Calibri" w:hAnsi="Calibri" w:cs="Calibri"/>
          <w:szCs w:val="22"/>
        </w:rPr>
        <w:t xml:space="preserve"> (FNP) istnieje od 1991 r. i jest niezależną instytucją pozarządową typu non-profit, która realizuje misję wspierania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Fundacja angażuje się także we wspieranie międzynarodowej współpracy naukowej oraz zwiększanie samodzielności naukowej młodego pokolenia.</w:t>
      </w:r>
    </w:p>
    <w:p w14:paraId="0CAFAF67" w14:textId="77777777" w:rsidR="00B61A10" w:rsidRDefault="00B61A10" w:rsidP="00CF567D">
      <w:pPr>
        <w:spacing w:line="276" w:lineRule="auto"/>
        <w:jc w:val="both"/>
        <w:rPr>
          <w:rFonts w:ascii="Calibri" w:hAnsi="Calibri" w:cs="Calibri"/>
          <w:b/>
          <w:bCs/>
          <w:szCs w:val="22"/>
        </w:rPr>
      </w:pPr>
    </w:p>
    <w:p w14:paraId="3C02EE01" w14:textId="77777777" w:rsidR="002F2F96" w:rsidRPr="002F2F96" w:rsidRDefault="002F2F96">
      <w:pPr>
        <w:spacing w:after="120" w:line="276" w:lineRule="auto"/>
        <w:jc w:val="both"/>
        <w:rPr>
          <w:rFonts w:ascii="Calibri" w:hAnsi="Calibri" w:cs="Calibri"/>
          <w:szCs w:val="22"/>
        </w:rPr>
      </w:pPr>
    </w:p>
    <w:sectPr w:rsidR="002F2F96" w:rsidRPr="002F2F96" w:rsidSect="00B61A10">
      <w:headerReference w:type="default" r:id="rId9"/>
      <w:footerReference w:type="default" r:id="rId10"/>
      <w:headerReference w:type="first" r:id="rId11"/>
      <w:footerReference w:type="first" r:id="rId12"/>
      <w:pgSz w:w="11900" w:h="16840"/>
      <w:pgMar w:top="1985" w:right="1417" w:bottom="1985"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EFAF" w14:textId="77777777" w:rsidR="003A2249" w:rsidRPr="00EB556B" w:rsidRDefault="003A2249" w:rsidP="00494007">
      <w:pPr>
        <w:spacing w:after="0"/>
      </w:pPr>
      <w:r w:rsidRPr="00EB556B">
        <w:separator/>
      </w:r>
    </w:p>
  </w:endnote>
  <w:endnote w:type="continuationSeparator" w:id="0">
    <w:p w14:paraId="73994FA0" w14:textId="77777777" w:rsidR="003A2249" w:rsidRPr="00EB556B" w:rsidRDefault="003A2249" w:rsidP="00494007">
      <w:pPr>
        <w:spacing w:after="0"/>
      </w:pPr>
      <w:r w:rsidRPr="00EB5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A0E0" w14:textId="4C5B5547" w:rsidR="00D34F51" w:rsidRPr="00EB556B" w:rsidRDefault="00D34F51">
    <w:pPr>
      <w:pStyle w:val="Stopka"/>
    </w:pPr>
    <w:r w:rsidRPr="00EB556B">
      <w:rPr>
        <w:noProof/>
      </w:rPr>
      <w:drawing>
        <wp:anchor distT="0" distB="0" distL="114300" distR="114300" simplePos="0" relativeHeight="251661312" behindDoc="1" locked="0" layoutInCell="1" allowOverlap="1" wp14:anchorId="2F2FECAA" wp14:editId="421449B8">
          <wp:simplePos x="0" y="0"/>
          <wp:positionH relativeFrom="page">
            <wp:align>center</wp:align>
          </wp:positionH>
          <wp:positionV relativeFrom="paragraph">
            <wp:posOffset>-626745</wp:posOffset>
          </wp:positionV>
          <wp:extent cx="6177600" cy="568800"/>
          <wp:effectExtent l="0" t="0" r="0" b="3175"/>
          <wp:wrapSquare wrapText="bothSides"/>
          <wp:docPr id="1757460498" name="Obraz 175746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6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666"/>
    </w:tblGrid>
    <w:tr w:rsidR="00FB2187" w:rsidRPr="00EB556B" w14:paraId="185B676B" w14:textId="77777777" w:rsidTr="002C7F2F">
      <w:tc>
        <w:tcPr>
          <w:tcW w:w="3085" w:type="dxa"/>
          <w:tcMar>
            <w:left w:w="0" w:type="dxa"/>
            <w:right w:w="0" w:type="dxa"/>
          </w:tcMar>
        </w:tcPr>
        <w:p w14:paraId="0E6FE915" w14:textId="77777777" w:rsidR="00FB2187" w:rsidRPr="00EB556B" w:rsidRDefault="00FB2187" w:rsidP="002C7F2F">
          <w:pPr>
            <w:pStyle w:val="Stopka"/>
            <w:rPr>
              <w:color w:val="0062B0"/>
              <w:sz w:val="16"/>
              <w:szCs w:val="16"/>
            </w:rPr>
          </w:pPr>
          <w:r w:rsidRPr="00EB556B">
            <w:rPr>
              <w:color w:val="0062B0"/>
              <w:sz w:val="16"/>
              <w:szCs w:val="16"/>
            </w:rPr>
            <w:t>ul. I. Krasickiego 20/22</w:t>
          </w:r>
          <w:r w:rsidRPr="00EB556B">
            <w:rPr>
              <w:color w:val="0062B0"/>
              <w:sz w:val="16"/>
              <w:szCs w:val="16"/>
            </w:rPr>
            <w:br/>
            <w:t>02-611 Warszawa</w:t>
          </w:r>
          <w:r w:rsidRPr="00EB556B">
            <w:rPr>
              <w:color w:val="0062B0"/>
              <w:sz w:val="16"/>
              <w:szCs w:val="16"/>
            </w:rPr>
            <w:br/>
            <w:t>tel.: 22 845 95 00, fax: 22 845 95 05</w:t>
          </w:r>
          <w:r w:rsidRPr="00EB556B">
            <w:rPr>
              <w:color w:val="0062B0"/>
              <w:sz w:val="16"/>
              <w:szCs w:val="16"/>
            </w:rPr>
            <w:br/>
            <w:t>fnp@fnp.org.pl, www.fnp.org.pl</w:t>
          </w:r>
        </w:p>
      </w:tc>
      <w:tc>
        <w:tcPr>
          <w:tcW w:w="5666" w:type="dxa"/>
          <w:tcMar>
            <w:left w:w="0" w:type="dxa"/>
            <w:right w:w="0" w:type="dxa"/>
          </w:tcMar>
        </w:tcPr>
        <w:p w14:paraId="764D8E5C" w14:textId="77777777" w:rsidR="00FB2187" w:rsidRPr="00EB556B" w:rsidRDefault="00FB2187" w:rsidP="002C7F2F">
          <w:pPr>
            <w:pStyle w:val="Stopka"/>
            <w:rPr>
              <w:color w:val="0062B0"/>
              <w:sz w:val="16"/>
              <w:szCs w:val="16"/>
            </w:rPr>
          </w:pPr>
          <w:r w:rsidRPr="00EB556B">
            <w:rPr>
              <w:color w:val="0062B0"/>
              <w:sz w:val="16"/>
              <w:szCs w:val="16"/>
            </w:rPr>
            <w:t>Organizacja pożytku publicznego</w:t>
          </w:r>
          <w:r w:rsidRPr="00EB556B">
            <w:rPr>
              <w:color w:val="0062B0"/>
              <w:sz w:val="16"/>
              <w:szCs w:val="16"/>
            </w:rPr>
            <w:br/>
            <w:t>KRS: 0000109744</w:t>
          </w:r>
          <w:r w:rsidRPr="00EB556B">
            <w:rPr>
              <w:color w:val="0062B0"/>
              <w:sz w:val="16"/>
              <w:szCs w:val="16"/>
            </w:rPr>
            <w:br/>
            <w:t xml:space="preserve">Konto dla darowizn i 1% odpisów podatkowych na cele statutowe: </w:t>
          </w:r>
          <w:r w:rsidRPr="00EB556B">
            <w:rPr>
              <w:color w:val="0062B0"/>
              <w:sz w:val="16"/>
              <w:szCs w:val="16"/>
            </w:rPr>
            <w:br/>
            <w:t>29 1500 1272 1212 7004 4667 0000</w:t>
          </w:r>
        </w:p>
      </w:tc>
    </w:tr>
  </w:tbl>
  <w:p w14:paraId="059B416D" w14:textId="77777777" w:rsidR="00FB2187" w:rsidRPr="00EB556B" w:rsidRDefault="00FB2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8F44" w14:textId="77777777" w:rsidR="003A2249" w:rsidRPr="00EB556B" w:rsidRDefault="003A2249" w:rsidP="00494007">
      <w:pPr>
        <w:spacing w:after="0"/>
      </w:pPr>
      <w:r w:rsidRPr="00EB556B">
        <w:separator/>
      </w:r>
    </w:p>
  </w:footnote>
  <w:footnote w:type="continuationSeparator" w:id="0">
    <w:p w14:paraId="2F8A9B79" w14:textId="77777777" w:rsidR="003A2249" w:rsidRPr="00EB556B" w:rsidRDefault="003A2249" w:rsidP="00494007">
      <w:pPr>
        <w:spacing w:after="0"/>
      </w:pPr>
      <w:r w:rsidRPr="00EB5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4DB2" w14:textId="0FE56FEF" w:rsidR="005B1A51" w:rsidRPr="00EB556B" w:rsidRDefault="00494007" w:rsidP="005B1A51">
    <w:pPr>
      <w:pStyle w:val="Nagwek"/>
      <w:tabs>
        <w:tab w:val="clear" w:pos="4703"/>
        <w:tab w:val="clear" w:pos="9406"/>
        <w:tab w:val="left" w:pos="1200"/>
      </w:tabs>
    </w:pPr>
    <w:r w:rsidRPr="00EB556B">
      <w:rPr>
        <w:noProof/>
      </w:rPr>
      <w:drawing>
        <wp:anchor distT="0" distB="0" distL="114300" distR="114300" simplePos="0" relativeHeight="251658752" behindDoc="1" locked="0" layoutInCell="1" allowOverlap="1" wp14:anchorId="4165B1D7" wp14:editId="2B409CAD">
          <wp:simplePos x="0" y="0"/>
          <wp:positionH relativeFrom="page">
            <wp:posOffset>247650</wp:posOffset>
          </wp:positionH>
          <wp:positionV relativeFrom="page">
            <wp:posOffset>142875</wp:posOffset>
          </wp:positionV>
          <wp:extent cx="2465832" cy="819912"/>
          <wp:effectExtent l="0" t="0" r="0" b="0"/>
          <wp:wrapNone/>
          <wp:docPr id="1344890669" name="Obraz 134489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P_logo-papier.jpg"/>
                  <pic:cNvPicPr/>
                </pic:nvPicPr>
                <pic:blipFill>
                  <a:blip r:embed="rId1">
                    <a:extLst>
                      <a:ext uri="{28A0092B-C50C-407E-A947-70E740481C1C}">
                        <a14:useLocalDpi xmlns:a14="http://schemas.microsoft.com/office/drawing/2010/main" val="0"/>
                      </a:ext>
                    </a:extLst>
                  </a:blip>
                  <a:stretch>
                    <a:fillRect/>
                  </a:stretch>
                </pic:blipFill>
                <pic:spPr>
                  <a:xfrm>
                    <a:off x="0" y="0"/>
                    <a:ext cx="2465832" cy="819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B1A51" w:rsidRPr="00EB556B">
      <w:tab/>
    </w:r>
  </w:p>
  <w:p w14:paraId="0746C906" w14:textId="77777777" w:rsidR="005B1A51" w:rsidRPr="00EB556B" w:rsidRDefault="005B1A51" w:rsidP="005B1A51">
    <w:pPr>
      <w:pStyle w:val="Nagwek"/>
      <w:tabs>
        <w:tab w:val="clear" w:pos="4703"/>
        <w:tab w:val="clear" w:pos="9406"/>
        <w:tab w:val="left" w:pos="1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464" w14:textId="77777777" w:rsidR="00FB2187" w:rsidRPr="00EB556B" w:rsidRDefault="00FB2187">
    <w:pPr>
      <w:pStyle w:val="Nagwek"/>
    </w:pPr>
    <w:r w:rsidRPr="00EB556B">
      <w:rPr>
        <w:noProof/>
      </w:rPr>
      <w:drawing>
        <wp:anchor distT="0" distB="0" distL="114300" distR="114300" simplePos="0" relativeHeight="251660288" behindDoc="1" locked="0" layoutInCell="1" allowOverlap="1" wp14:anchorId="279DEFF3" wp14:editId="710AFD0A">
          <wp:simplePos x="0" y="0"/>
          <wp:positionH relativeFrom="page">
            <wp:posOffset>0</wp:posOffset>
          </wp:positionH>
          <wp:positionV relativeFrom="page">
            <wp:posOffset>0</wp:posOffset>
          </wp:positionV>
          <wp:extent cx="2465832" cy="819912"/>
          <wp:effectExtent l="0" t="0" r="0" b="0"/>
          <wp:wrapNone/>
          <wp:docPr id="1324887036" name="Obraz 132488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P_logo-papier.jpg"/>
                  <pic:cNvPicPr/>
                </pic:nvPicPr>
                <pic:blipFill>
                  <a:blip r:embed="rId1">
                    <a:extLst>
                      <a:ext uri="{28A0092B-C50C-407E-A947-70E740481C1C}">
                        <a14:useLocalDpi xmlns:a14="http://schemas.microsoft.com/office/drawing/2010/main" val="0"/>
                      </a:ext>
                    </a:extLst>
                  </a:blip>
                  <a:stretch>
                    <a:fillRect/>
                  </a:stretch>
                </pic:blipFill>
                <pic:spPr>
                  <a:xfrm>
                    <a:off x="0" y="0"/>
                    <a:ext cx="2465832" cy="819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171"/>
    <w:multiLevelType w:val="hybridMultilevel"/>
    <w:tmpl w:val="960A8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52010F"/>
    <w:multiLevelType w:val="multilevel"/>
    <w:tmpl w:val="896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36AB"/>
    <w:multiLevelType w:val="multilevel"/>
    <w:tmpl w:val="F580F032"/>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85A38C0"/>
    <w:multiLevelType w:val="multilevel"/>
    <w:tmpl w:val="DE5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F4565"/>
    <w:multiLevelType w:val="multilevel"/>
    <w:tmpl w:val="09F0AA26"/>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524DF9"/>
    <w:multiLevelType w:val="multilevel"/>
    <w:tmpl w:val="17242C02"/>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0BF4D24"/>
    <w:multiLevelType w:val="multilevel"/>
    <w:tmpl w:val="6CA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30654"/>
    <w:multiLevelType w:val="multilevel"/>
    <w:tmpl w:val="0428CF8E"/>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5EB265A"/>
    <w:multiLevelType w:val="multilevel"/>
    <w:tmpl w:val="1BB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95437"/>
    <w:multiLevelType w:val="multilevel"/>
    <w:tmpl w:val="24D20A62"/>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E85D2C"/>
    <w:multiLevelType w:val="multilevel"/>
    <w:tmpl w:val="44C0D24C"/>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88B3160"/>
    <w:multiLevelType w:val="multilevel"/>
    <w:tmpl w:val="ED625DA8"/>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4E643D7"/>
    <w:multiLevelType w:val="multilevel"/>
    <w:tmpl w:val="B3E4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1663A"/>
    <w:multiLevelType w:val="multilevel"/>
    <w:tmpl w:val="1A2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07F2E"/>
    <w:multiLevelType w:val="multilevel"/>
    <w:tmpl w:val="AE1863BE"/>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63428B6"/>
    <w:multiLevelType w:val="multilevel"/>
    <w:tmpl w:val="101A121C"/>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8501B83"/>
    <w:multiLevelType w:val="multilevel"/>
    <w:tmpl w:val="72B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D7984"/>
    <w:multiLevelType w:val="hybridMultilevel"/>
    <w:tmpl w:val="71E84126"/>
    <w:lvl w:ilvl="0" w:tplc="116E10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2645F2"/>
    <w:multiLevelType w:val="multilevel"/>
    <w:tmpl w:val="2BB88490"/>
    <w:lvl w:ilvl="0">
      <w:start w:val="1"/>
      <w:numFmt w:val="bullet"/>
      <w:lvlText w:val=""/>
      <w:lvlJc w:val="left"/>
      <w:pPr>
        <w:tabs>
          <w:tab w:val="num" w:pos="596"/>
        </w:tabs>
        <w:ind w:left="596" w:hanging="236"/>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05668629">
    <w:abstractNumId w:val="0"/>
  </w:num>
  <w:num w:numId="2" w16cid:durableId="310259683">
    <w:abstractNumId w:val="4"/>
  </w:num>
  <w:num w:numId="3" w16cid:durableId="500243328">
    <w:abstractNumId w:val="2"/>
  </w:num>
  <w:num w:numId="4" w16cid:durableId="2013069954">
    <w:abstractNumId w:val="18"/>
  </w:num>
  <w:num w:numId="5" w16cid:durableId="691758705">
    <w:abstractNumId w:val="5"/>
  </w:num>
  <w:num w:numId="6" w16cid:durableId="1050298376">
    <w:abstractNumId w:val="14"/>
  </w:num>
  <w:num w:numId="7" w16cid:durableId="732192738">
    <w:abstractNumId w:val="9"/>
  </w:num>
  <w:num w:numId="8" w16cid:durableId="1200313317">
    <w:abstractNumId w:val="15"/>
  </w:num>
  <w:num w:numId="9" w16cid:durableId="1601067608">
    <w:abstractNumId w:val="7"/>
  </w:num>
  <w:num w:numId="10" w16cid:durableId="115563771">
    <w:abstractNumId w:val="11"/>
  </w:num>
  <w:num w:numId="11" w16cid:durableId="412167800">
    <w:abstractNumId w:val="10"/>
  </w:num>
  <w:num w:numId="12" w16cid:durableId="1405637885">
    <w:abstractNumId w:val="13"/>
  </w:num>
  <w:num w:numId="13" w16cid:durableId="2071609167">
    <w:abstractNumId w:val="3"/>
  </w:num>
  <w:num w:numId="14" w16cid:durableId="1900363411">
    <w:abstractNumId w:val="6"/>
  </w:num>
  <w:num w:numId="15" w16cid:durableId="2083479615">
    <w:abstractNumId w:val="8"/>
  </w:num>
  <w:num w:numId="16" w16cid:durableId="1128353203">
    <w:abstractNumId w:val="12"/>
  </w:num>
  <w:num w:numId="17" w16cid:durableId="1489403704">
    <w:abstractNumId w:val="1"/>
  </w:num>
  <w:num w:numId="18" w16cid:durableId="262346115">
    <w:abstractNumId w:val="16"/>
  </w:num>
  <w:num w:numId="19" w16cid:durableId="610354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9C"/>
    <w:rsid w:val="000032ED"/>
    <w:rsid w:val="000202A1"/>
    <w:rsid w:val="00030D1E"/>
    <w:rsid w:val="00032C0C"/>
    <w:rsid w:val="00032DB9"/>
    <w:rsid w:val="00044687"/>
    <w:rsid w:val="00046E72"/>
    <w:rsid w:val="0005580A"/>
    <w:rsid w:val="0009417F"/>
    <w:rsid w:val="000A2F78"/>
    <w:rsid w:val="000B02F5"/>
    <w:rsid w:val="000F6001"/>
    <w:rsid w:val="00115AA3"/>
    <w:rsid w:val="001177CF"/>
    <w:rsid w:val="00135EF0"/>
    <w:rsid w:val="00141605"/>
    <w:rsid w:val="001828F2"/>
    <w:rsid w:val="001830B1"/>
    <w:rsid w:val="001962F0"/>
    <w:rsid w:val="001B23F2"/>
    <w:rsid w:val="001C5C67"/>
    <w:rsid w:val="001D0795"/>
    <w:rsid w:val="001E2350"/>
    <w:rsid w:val="001E3640"/>
    <w:rsid w:val="001E725A"/>
    <w:rsid w:val="002006A5"/>
    <w:rsid w:val="00210F31"/>
    <w:rsid w:val="002242AE"/>
    <w:rsid w:val="00254850"/>
    <w:rsid w:val="00256AB8"/>
    <w:rsid w:val="0027730E"/>
    <w:rsid w:val="0029426D"/>
    <w:rsid w:val="002A23F8"/>
    <w:rsid w:val="002A3D0B"/>
    <w:rsid w:val="002B0BBC"/>
    <w:rsid w:val="002B438D"/>
    <w:rsid w:val="002B715A"/>
    <w:rsid w:val="002C1FED"/>
    <w:rsid w:val="002E0E1C"/>
    <w:rsid w:val="002F2F96"/>
    <w:rsid w:val="002F37F0"/>
    <w:rsid w:val="002F6B6C"/>
    <w:rsid w:val="00302510"/>
    <w:rsid w:val="00305AAE"/>
    <w:rsid w:val="003064D2"/>
    <w:rsid w:val="003108FB"/>
    <w:rsid w:val="003114C4"/>
    <w:rsid w:val="00316424"/>
    <w:rsid w:val="00341BF7"/>
    <w:rsid w:val="00344B13"/>
    <w:rsid w:val="00356572"/>
    <w:rsid w:val="0037316F"/>
    <w:rsid w:val="00385313"/>
    <w:rsid w:val="00397C0E"/>
    <w:rsid w:val="003A1FC5"/>
    <w:rsid w:val="003A2249"/>
    <w:rsid w:val="003A3527"/>
    <w:rsid w:val="003A48A8"/>
    <w:rsid w:val="003A4D26"/>
    <w:rsid w:val="003B0789"/>
    <w:rsid w:val="003B0FA6"/>
    <w:rsid w:val="003B66A6"/>
    <w:rsid w:val="003C4CD8"/>
    <w:rsid w:val="003D0E0B"/>
    <w:rsid w:val="003F44AE"/>
    <w:rsid w:val="00404FF0"/>
    <w:rsid w:val="00420554"/>
    <w:rsid w:val="0042518D"/>
    <w:rsid w:val="00430912"/>
    <w:rsid w:val="004319F8"/>
    <w:rsid w:val="00432129"/>
    <w:rsid w:val="00447E49"/>
    <w:rsid w:val="0045176E"/>
    <w:rsid w:val="00452F86"/>
    <w:rsid w:val="004555CB"/>
    <w:rsid w:val="00460442"/>
    <w:rsid w:val="00484260"/>
    <w:rsid w:val="00494007"/>
    <w:rsid w:val="004B45E0"/>
    <w:rsid w:val="004C1A85"/>
    <w:rsid w:val="004C3645"/>
    <w:rsid w:val="004D5C11"/>
    <w:rsid w:val="004F03D3"/>
    <w:rsid w:val="00504C1B"/>
    <w:rsid w:val="005060CD"/>
    <w:rsid w:val="005157FC"/>
    <w:rsid w:val="00534F8E"/>
    <w:rsid w:val="00545430"/>
    <w:rsid w:val="0056530A"/>
    <w:rsid w:val="005721B9"/>
    <w:rsid w:val="005919AA"/>
    <w:rsid w:val="00593D39"/>
    <w:rsid w:val="0059604D"/>
    <w:rsid w:val="00596B9C"/>
    <w:rsid w:val="005A72C4"/>
    <w:rsid w:val="005B1A51"/>
    <w:rsid w:val="005B3BC8"/>
    <w:rsid w:val="005B6B1E"/>
    <w:rsid w:val="005B71E2"/>
    <w:rsid w:val="005C2F41"/>
    <w:rsid w:val="005C4E7B"/>
    <w:rsid w:val="005C7AC9"/>
    <w:rsid w:val="005D19D5"/>
    <w:rsid w:val="005D4058"/>
    <w:rsid w:val="005D41FC"/>
    <w:rsid w:val="005D7EB5"/>
    <w:rsid w:val="005F7BC6"/>
    <w:rsid w:val="006020B3"/>
    <w:rsid w:val="00607AE9"/>
    <w:rsid w:val="00615086"/>
    <w:rsid w:val="00631507"/>
    <w:rsid w:val="006372FC"/>
    <w:rsid w:val="00657DA2"/>
    <w:rsid w:val="00660B8B"/>
    <w:rsid w:val="0066435C"/>
    <w:rsid w:val="006647D0"/>
    <w:rsid w:val="0067515A"/>
    <w:rsid w:val="006875F5"/>
    <w:rsid w:val="00695C6B"/>
    <w:rsid w:val="006A1DB3"/>
    <w:rsid w:val="006C3946"/>
    <w:rsid w:val="006F174E"/>
    <w:rsid w:val="006F6CCB"/>
    <w:rsid w:val="006F7192"/>
    <w:rsid w:val="00711F1B"/>
    <w:rsid w:val="00717A56"/>
    <w:rsid w:val="007260D9"/>
    <w:rsid w:val="00740FE8"/>
    <w:rsid w:val="007520D2"/>
    <w:rsid w:val="00753F23"/>
    <w:rsid w:val="00764E67"/>
    <w:rsid w:val="00774FAA"/>
    <w:rsid w:val="00776010"/>
    <w:rsid w:val="00794BD8"/>
    <w:rsid w:val="007B0624"/>
    <w:rsid w:val="007E599C"/>
    <w:rsid w:val="007E68B5"/>
    <w:rsid w:val="007E74A4"/>
    <w:rsid w:val="007E7680"/>
    <w:rsid w:val="007F0D84"/>
    <w:rsid w:val="007F2DF3"/>
    <w:rsid w:val="00800509"/>
    <w:rsid w:val="00800B4E"/>
    <w:rsid w:val="00806458"/>
    <w:rsid w:val="00826315"/>
    <w:rsid w:val="00832739"/>
    <w:rsid w:val="008734A3"/>
    <w:rsid w:val="00887A59"/>
    <w:rsid w:val="00894E58"/>
    <w:rsid w:val="008A2112"/>
    <w:rsid w:val="008A410D"/>
    <w:rsid w:val="008B512A"/>
    <w:rsid w:val="00932C17"/>
    <w:rsid w:val="00935091"/>
    <w:rsid w:val="00995514"/>
    <w:rsid w:val="0099758E"/>
    <w:rsid w:val="00997ADE"/>
    <w:rsid w:val="009A1991"/>
    <w:rsid w:val="009A4396"/>
    <w:rsid w:val="009B0DD1"/>
    <w:rsid w:val="009C017F"/>
    <w:rsid w:val="009D66D5"/>
    <w:rsid w:val="009F5B54"/>
    <w:rsid w:val="009F7AAC"/>
    <w:rsid w:val="00A0165F"/>
    <w:rsid w:val="00A055A6"/>
    <w:rsid w:val="00A26FE9"/>
    <w:rsid w:val="00A32673"/>
    <w:rsid w:val="00A54467"/>
    <w:rsid w:val="00A6172E"/>
    <w:rsid w:val="00A7032E"/>
    <w:rsid w:val="00A716F0"/>
    <w:rsid w:val="00A745EF"/>
    <w:rsid w:val="00A76435"/>
    <w:rsid w:val="00A8692F"/>
    <w:rsid w:val="00AA3513"/>
    <w:rsid w:val="00AB0728"/>
    <w:rsid w:val="00AB4B5E"/>
    <w:rsid w:val="00AB579E"/>
    <w:rsid w:val="00AD4166"/>
    <w:rsid w:val="00AE424B"/>
    <w:rsid w:val="00AE4F8D"/>
    <w:rsid w:val="00AE7844"/>
    <w:rsid w:val="00AF6FEE"/>
    <w:rsid w:val="00B12C3B"/>
    <w:rsid w:val="00B13FB0"/>
    <w:rsid w:val="00B170C3"/>
    <w:rsid w:val="00B23936"/>
    <w:rsid w:val="00B51ABC"/>
    <w:rsid w:val="00B53F2D"/>
    <w:rsid w:val="00B55964"/>
    <w:rsid w:val="00B61A10"/>
    <w:rsid w:val="00B95154"/>
    <w:rsid w:val="00BA095E"/>
    <w:rsid w:val="00BA11A1"/>
    <w:rsid w:val="00BB41FD"/>
    <w:rsid w:val="00BC6013"/>
    <w:rsid w:val="00BD32A2"/>
    <w:rsid w:val="00BF3E0A"/>
    <w:rsid w:val="00C26210"/>
    <w:rsid w:val="00C3483A"/>
    <w:rsid w:val="00C44FB6"/>
    <w:rsid w:val="00C504A7"/>
    <w:rsid w:val="00C53BA8"/>
    <w:rsid w:val="00C55E8A"/>
    <w:rsid w:val="00C618A8"/>
    <w:rsid w:val="00C64441"/>
    <w:rsid w:val="00C64A45"/>
    <w:rsid w:val="00C73E16"/>
    <w:rsid w:val="00C91F22"/>
    <w:rsid w:val="00CB6585"/>
    <w:rsid w:val="00CD3DAA"/>
    <w:rsid w:val="00CE1701"/>
    <w:rsid w:val="00CE3A8B"/>
    <w:rsid w:val="00CE72AA"/>
    <w:rsid w:val="00CF567D"/>
    <w:rsid w:val="00D005D2"/>
    <w:rsid w:val="00D051D4"/>
    <w:rsid w:val="00D05DEF"/>
    <w:rsid w:val="00D34F51"/>
    <w:rsid w:val="00D4220D"/>
    <w:rsid w:val="00D43246"/>
    <w:rsid w:val="00D52518"/>
    <w:rsid w:val="00D53E5E"/>
    <w:rsid w:val="00D6779C"/>
    <w:rsid w:val="00D81754"/>
    <w:rsid w:val="00D823B2"/>
    <w:rsid w:val="00D918F0"/>
    <w:rsid w:val="00DA3773"/>
    <w:rsid w:val="00DC20B6"/>
    <w:rsid w:val="00DC22CC"/>
    <w:rsid w:val="00DE3D04"/>
    <w:rsid w:val="00DE6EE3"/>
    <w:rsid w:val="00E06780"/>
    <w:rsid w:val="00E1162F"/>
    <w:rsid w:val="00E11CA3"/>
    <w:rsid w:val="00E54252"/>
    <w:rsid w:val="00E8178B"/>
    <w:rsid w:val="00EB556B"/>
    <w:rsid w:val="00EE689E"/>
    <w:rsid w:val="00EF6A5D"/>
    <w:rsid w:val="00F07D1C"/>
    <w:rsid w:val="00F1003A"/>
    <w:rsid w:val="00F37654"/>
    <w:rsid w:val="00F40AD7"/>
    <w:rsid w:val="00F55064"/>
    <w:rsid w:val="00F55D6B"/>
    <w:rsid w:val="00F577AA"/>
    <w:rsid w:val="00F65452"/>
    <w:rsid w:val="00F67632"/>
    <w:rsid w:val="00F819AF"/>
    <w:rsid w:val="00F8606E"/>
    <w:rsid w:val="00FA3C64"/>
    <w:rsid w:val="00FA6AD0"/>
    <w:rsid w:val="00FB2187"/>
    <w:rsid w:val="00FC1498"/>
    <w:rsid w:val="00FC1C36"/>
    <w:rsid w:val="00FC2C12"/>
    <w:rsid w:val="00FD1882"/>
    <w:rsid w:val="00FE3C87"/>
    <w:rsid w:val="00FE60DF"/>
    <w:rsid w:val="00FF6722"/>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0ED78"/>
  <w15:docId w15:val="{46563881-058F-424B-B44F-DB319A7B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4007"/>
    <w:pPr>
      <w:spacing w:after="240"/>
    </w:pPr>
    <w:rPr>
      <w:rFonts w:ascii="Source Sans Pro" w:hAnsi="Source Sans Pro"/>
      <w:sz w:val="22"/>
      <w:lang w:val="pl-PL"/>
    </w:rPr>
  </w:style>
  <w:style w:type="paragraph" w:styleId="Nagwek1">
    <w:name w:val="heading 1"/>
    <w:aliases w:val="SzP"/>
    <w:next w:val="Normalny"/>
    <w:link w:val="Nagwek1Znak"/>
    <w:uiPriority w:val="9"/>
    <w:qFormat/>
    <w:rsid w:val="00A26FE9"/>
    <w:pPr>
      <w:widowControl w:val="0"/>
      <w:autoSpaceDE w:val="0"/>
      <w:autoSpaceDN w:val="0"/>
      <w:adjustRightInd w:val="0"/>
      <w:spacing w:line="320" w:lineRule="exact"/>
      <w:ind w:left="4253"/>
      <w:outlineLvl w:val="0"/>
    </w:pPr>
    <w:rPr>
      <w:rFonts w:ascii="Arial" w:hAnsi="Arial" w:cs="Arial"/>
      <w:color w:val="000000" w:themeColor="text1"/>
      <w:sz w:val="22"/>
      <w:szCs w:val="22"/>
    </w:rPr>
  </w:style>
  <w:style w:type="paragraph" w:styleId="Nagwek2">
    <w:name w:val="heading 2"/>
    <w:basedOn w:val="Normalny"/>
    <w:next w:val="Normalny"/>
    <w:link w:val="Nagwek2Znak"/>
    <w:uiPriority w:val="9"/>
    <w:semiHidden/>
    <w:unhideWhenUsed/>
    <w:qFormat/>
    <w:rsid w:val="003025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D005D2"/>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uiPriority w:val="1"/>
    <w:qFormat/>
    <w:rsid w:val="006875F5"/>
    <w:rPr>
      <w:b/>
    </w:rPr>
  </w:style>
  <w:style w:type="character" w:customStyle="1" w:styleId="Nagwek1Znak">
    <w:name w:val="Nagłówek 1 Znak"/>
    <w:aliases w:val="SzP Znak"/>
    <w:basedOn w:val="Domylnaczcionkaakapitu"/>
    <w:link w:val="Nagwek1"/>
    <w:uiPriority w:val="9"/>
    <w:rsid w:val="00A26FE9"/>
    <w:rPr>
      <w:rFonts w:ascii="Arial" w:hAnsi="Arial" w:cs="Arial"/>
      <w:color w:val="000000" w:themeColor="text1"/>
      <w:sz w:val="22"/>
      <w:szCs w:val="22"/>
    </w:rPr>
  </w:style>
  <w:style w:type="paragraph" w:styleId="Nagwek">
    <w:name w:val="header"/>
    <w:basedOn w:val="Normalny"/>
    <w:link w:val="NagwekZnak"/>
    <w:uiPriority w:val="99"/>
    <w:unhideWhenUsed/>
    <w:rsid w:val="00494007"/>
    <w:pPr>
      <w:tabs>
        <w:tab w:val="center" w:pos="4703"/>
        <w:tab w:val="right" w:pos="9406"/>
      </w:tabs>
    </w:pPr>
  </w:style>
  <w:style w:type="character" w:customStyle="1" w:styleId="NagwekZnak">
    <w:name w:val="Nagłówek Znak"/>
    <w:basedOn w:val="Domylnaczcionkaakapitu"/>
    <w:link w:val="Nagwek"/>
    <w:uiPriority w:val="99"/>
    <w:rsid w:val="00494007"/>
  </w:style>
  <w:style w:type="paragraph" w:styleId="Stopka">
    <w:name w:val="footer"/>
    <w:basedOn w:val="Normalny"/>
    <w:link w:val="StopkaZnak"/>
    <w:uiPriority w:val="99"/>
    <w:unhideWhenUsed/>
    <w:rsid w:val="00494007"/>
    <w:pPr>
      <w:tabs>
        <w:tab w:val="center" w:pos="4703"/>
        <w:tab w:val="right" w:pos="9406"/>
      </w:tabs>
    </w:pPr>
  </w:style>
  <w:style w:type="character" w:customStyle="1" w:styleId="StopkaZnak">
    <w:name w:val="Stopka Znak"/>
    <w:basedOn w:val="Domylnaczcionkaakapitu"/>
    <w:link w:val="Stopka"/>
    <w:uiPriority w:val="99"/>
    <w:rsid w:val="00494007"/>
  </w:style>
  <w:style w:type="paragraph" w:styleId="Tekstdymka">
    <w:name w:val="Balloon Text"/>
    <w:basedOn w:val="Normalny"/>
    <w:link w:val="TekstdymkaZnak"/>
    <w:uiPriority w:val="99"/>
    <w:semiHidden/>
    <w:unhideWhenUsed/>
    <w:rsid w:val="00494007"/>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494007"/>
    <w:rPr>
      <w:rFonts w:ascii="Lucida Grande" w:hAnsi="Lucida Grande" w:cs="Lucida Grande"/>
      <w:sz w:val="18"/>
      <w:szCs w:val="18"/>
    </w:rPr>
  </w:style>
  <w:style w:type="paragraph" w:styleId="Bezodstpw">
    <w:name w:val="No Spacing"/>
    <w:aliases w:val="Adres"/>
    <w:basedOn w:val="Normalny"/>
    <w:uiPriority w:val="1"/>
    <w:qFormat/>
    <w:rsid w:val="00494007"/>
    <w:pPr>
      <w:ind w:left="5245"/>
    </w:pPr>
  </w:style>
  <w:style w:type="table" w:styleId="Tabela-Siatka">
    <w:name w:val="Table Grid"/>
    <w:basedOn w:val="Standardowy"/>
    <w:uiPriority w:val="59"/>
    <w:rsid w:val="00FB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556B"/>
    <w:rPr>
      <w:color w:val="0000FF" w:themeColor="hyperlink"/>
      <w:u w:val="single"/>
    </w:rPr>
  </w:style>
  <w:style w:type="character" w:styleId="Odwoaniedokomentarza">
    <w:name w:val="annotation reference"/>
    <w:basedOn w:val="Domylnaczcionkaakapitu"/>
    <w:uiPriority w:val="99"/>
    <w:semiHidden/>
    <w:unhideWhenUsed/>
    <w:rsid w:val="000B02F5"/>
    <w:rPr>
      <w:sz w:val="16"/>
      <w:szCs w:val="16"/>
    </w:rPr>
  </w:style>
  <w:style w:type="paragraph" w:styleId="Tekstkomentarza">
    <w:name w:val="annotation text"/>
    <w:basedOn w:val="Normalny"/>
    <w:link w:val="TekstkomentarzaZnak"/>
    <w:uiPriority w:val="99"/>
    <w:unhideWhenUsed/>
    <w:rsid w:val="000B02F5"/>
    <w:rPr>
      <w:sz w:val="20"/>
      <w:szCs w:val="20"/>
    </w:rPr>
  </w:style>
  <w:style w:type="character" w:customStyle="1" w:styleId="TekstkomentarzaZnak">
    <w:name w:val="Tekst komentarza Znak"/>
    <w:basedOn w:val="Domylnaczcionkaakapitu"/>
    <w:link w:val="Tekstkomentarza"/>
    <w:uiPriority w:val="99"/>
    <w:rsid w:val="000B02F5"/>
    <w:rPr>
      <w:rFonts w:ascii="Source Sans Pro" w:hAnsi="Source Sans Pro"/>
      <w:sz w:val="20"/>
      <w:szCs w:val="20"/>
      <w:lang w:val="pl-PL"/>
    </w:rPr>
  </w:style>
  <w:style w:type="paragraph" w:styleId="Tematkomentarza">
    <w:name w:val="annotation subject"/>
    <w:basedOn w:val="Tekstkomentarza"/>
    <w:next w:val="Tekstkomentarza"/>
    <w:link w:val="TematkomentarzaZnak"/>
    <w:uiPriority w:val="99"/>
    <w:semiHidden/>
    <w:unhideWhenUsed/>
    <w:rsid w:val="000B02F5"/>
    <w:rPr>
      <w:b/>
      <w:bCs/>
    </w:rPr>
  </w:style>
  <w:style w:type="character" w:customStyle="1" w:styleId="TematkomentarzaZnak">
    <w:name w:val="Temat komentarza Znak"/>
    <w:basedOn w:val="TekstkomentarzaZnak"/>
    <w:link w:val="Tematkomentarza"/>
    <w:uiPriority w:val="99"/>
    <w:semiHidden/>
    <w:rsid w:val="000B02F5"/>
    <w:rPr>
      <w:rFonts w:ascii="Source Sans Pro" w:hAnsi="Source Sans Pro"/>
      <w:b/>
      <w:bCs/>
      <w:sz w:val="20"/>
      <w:szCs w:val="20"/>
      <w:lang w:val="pl-PL"/>
    </w:rPr>
  </w:style>
  <w:style w:type="paragraph" w:styleId="Poprawka">
    <w:name w:val="Revision"/>
    <w:hidden/>
    <w:uiPriority w:val="99"/>
    <w:semiHidden/>
    <w:rsid w:val="008734A3"/>
    <w:rPr>
      <w:rFonts w:ascii="Source Sans Pro" w:hAnsi="Source Sans Pro"/>
      <w:sz w:val="22"/>
      <w:lang w:val="pl-PL"/>
    </w:rPr>
  </w:style>
  <w:style w:type="paragraph" w:styleId="Akapitzlist">
    <w:name w:val="List Paragraph"/>
    <w:basedOn w:val="Normalny"/>
    <w:uiPriority w:val="34"/>
    <w:qFormat/>
    <w:rsid w:val="00BF3E0A"/>
    <w:pPr>
      <w:ind w:left="720"/>
      <w:contextualSpacing/>
    </w:pPr>
  </w:style>
  <w:style w:type="character" w:customStyle="1" w:styleId="Nagwek2Znak">
    <w:name w:val="Nagłówek 2 Znak"/>
    <w:basedOn w:val="Domylnaczcionkaakapitu"/>
    <w:link w:val="Nagwek2"/>
    <w:uiPriority w:val="9"/>
    <w:semiHidden/>
    <w:rsid w:val="00302510"/>
    <w:rPr>
      <w:rFonts w:asciiTheme="majorHAnsi" w:eastAsiaTheme="majorEastAsia" w:hAnsiTheme="majorHAnsi" w:cstheme="majorBidi"/>
      <w:color w:val="365F91" w:themeColor="accent1" w:themeShade="BF"/>
      <w:sz w:val="26"/>
      <w:szCs w:val="26"/>
      <w:lang w:val="pl-PL"/>
    </w:rPr>
  </w:style>
  <w:style w:type="paragraph" w:styleId="NormalnyWeb">
    <w:name w:val="Normal (Web)"/>
    <w:basedOn w:val="Normalny"/>
    <w:uiPriority w:val="99"/>
    <w:semiHidden/>
    <w:unhideWhenUsed/>
    <w:rsid w:val="0037316F"/>
    <w:pPr>
      <w:spacing w:before="100" w:beforeAutospacing="1" w:after="100" w:afterAutospacing="1"/>
    </w:pPr>
    <w:rPr>
      <w:rFonts w:ascii="Times New Roman" w:eastAsia="Times New Roman" w:hAnsi="Times New Roman" w:cs="Times New Roman"/>
      <w:sz w:val="24"/>
    </w:rPr>
  </w:style>
  <w:style w:type="character" w:customStyle="1" w:styleId="Nagwek3Znak">
    <w:name w:val="Nagłówek 3 Znak"/>
    <w:basedOn w:val="Domylnaczcionkaakapitu"/>
    <w:link w:val="Nagwek3"/>
    <w:uiPriority w:val="9"/>
    <w:semiHidden/>
    <w:rsid w:val="00D005D2"/>
    <w:rPr>
      <w:rFonts w:asciiTheme="majorHAnsi" w:eastAsiaTheme="majorEastAsia" w:hAnsiTheme="majorHAnsi" w:cstheme="majorBidi"/>
      <w:color w:val="243F60" w:themeColor="accent1" w:themeShade="7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ysiak@fnp.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7D49-62B7-44F8-BBBF-C69E3AE4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1126</Words>
  <Characters>6756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Kotbury</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Budek</dc:creator>
  <cp:lastModifiedBy>Dominika Wojtysiak</cp:lastModifiedBy>
  <cp:revision>4</cp:revision>
  <cp:lastPrinted>2026-02-23T11:05:00Z</cp:lastPrinted>
  <dcterms:created xsi:type="dcterms:W3CDTF">2026-04-20T11:10:00Z</dcterms:created>
  <dcterms:modified xsi:type="dcterms:W3CDTF">2026-04-22T11:20:00Z</dcterms:modified>
</cp:coreProperties>
</file>